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6"/>
        <w:gridCol w:w="1077"/>
      </w:tblGrid>
      <w:tr w:rsidR="000B3691">
        <w:trPr>
          <w:cantSplit/>
        </w:trPr>
        <w:tc>
          <w:tcPr>
            <w:tcW w:w="1076" w:type="dxa"/>
          </w:tcPr>
          <w:p w:rsidR="000B3691" w:rsidRDefault="000B3691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6" w:type="dxa"/>
          </w:tcPr>
          <w:p w:rsidR="000B3691" w:rsidRDefault="002F5997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24.05.2018</w:t>
            </w:r>
            <w:proofErr w:type="gramEnd"/>
          </w:p>
        </w:tc>
        <w:tc>
          <w:tcPr>
            <w:tcW w:w="1077" w:type="dxa"/>
          </w:tcPr>
          <w:p w:rsidR="000B3691" w:rsidRDefault="000B3691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0B3691" w:rsidRDefault="000B3691">
      <w:pPr>
        <w:sectPr w:rsidR="000B3691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0B3691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00287032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 Bělov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Bělov 77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Bělov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76821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573358071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:rsidR="000B3691" w:rsidRDefault="00DC239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573358071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belov@centrum.cz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:rsidR="000B3691" w:rsidRDefault="00DC239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www.belov.cz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Zastupitelstvo obce: 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Počet členů zastupitelstva obce: 7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Složení zastupitelstva obce k </w:t>
            </w:r>
            <w:proofErr w:type="gramStart"/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Jiří Přecechtěl, Ladislav Škrabal, Ing. Zdeňka Daňková, Jaroslava Večeřová, Ing. Martina Šimčíková, Zdeněk Nevařil,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Alois Daněk</w:t>
            </w: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Starosta: Jiří Přecechtěl, neuvolněný pro funkci.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Místostarosta: Ladislav Škrabal, neuvolněný pro funkci.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375983" w:rsidRDefault="00DC2395" w:rsidP="00DC23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Kontrolní výbor: předseda – ing. Martina Šimčíková, členové – Alois Daněk, Blanka Vojtková. </w:t>
            </w:r>
          </w:p>
          <w:p w:rsidR="00DC2395" w:rsidRPr="00375983" w:rsidRDefault="00DC2395" w:rsidP="00DC23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375983" w:rsidRDefault="00DC2395" w:rsidP="00DC23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983">
              <w:rPr>
                <w:rFonts w:ascii="Times New Roman" w:hAnsi="Times New Roman"/>
                <w:color w:val="000000"/>
                <w:sz w:val="20"/>
                <w:szCs w:val="20"/>
              </w:rPr>
              <w:t>Finanční výbor: předseda -  ing. Zdeňka Daňková, členové – Jaroslava Večeřová, Zdeněk Nevařil.</w:t>
            </w:r>
          </w:p>
          <w:p w:rsidR="00DC2395" w:rsidRPr="00283CD0" w:rsidRDefault="00DC2395" w:rsidP="00DC2395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C2395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0ECD">
              <w:rPr>
                <w:rFonts w:ascii="Times New Roman" w:hAnsi="Times New Roman"/>
                <w:sz w:val="20"/>
                <w:szCs w:val="20"/>
                <w:u w:val="single"/>
              </w:rPr>
              <w:t>Obecní úřad: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zaměstnanců k 31. 12. 2017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Počet zaměstnanců na veřejně prospěšných pracích v roce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Příloha č. 1 – Rozvaha k 31. 12.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Příloha č. 2 – Výkaz zisku a ztrát k 31. 12.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2395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 xml:space="preserve">Příloha č. 3 – Výkaz </w:t>
            </w:r>
            <w:proofErr w:type="spellStart"/>
            <w:r w:rsidRPr="00070ECD">
              <w:rPr>
                <w:rFonts w:ascii="Times New Roman" w:hAnsi="Times New Roman"/>
                <w:sz w:val="20"/>
                <w:szCs w:val="20"/>
              </w:rPr>
              <w:t>fin</w:t>
            </w:r>
            <w:proofErr w:type="spellEnd"/>
            <w:r w:rsidRPr="00070ECD">
              <w:rPr>
                <w:rFonts w:ascii="Times New Roman" w:hAnsi="Times New Roman"/>
                <w:sz w:val="20"/>
                <w:szCs w:val="20"/>
              </w:rPr>
              <w:t xml:space="preserve"> 2-12 k </w:t>
            </w:r>
            <w:proofErr w:type="gramStart"/>
            <w:r w:rsidRPr="00070ECD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Příloha č. 4 – Příloha k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  <w:proofErr w:type="gramEnd"/>
          </w:p>
          <w:p w:rsidR="00DC2395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 xml:space="preserve">Příloha č.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 – Zpráva o výsledku přezkoumání hospodaření obce Bělov za rok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(bude k dispozici po datu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6.6.2018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ukončení auditu)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Přílohy jsou k nahlédnutí v úředních hodinách na OÚ Bělov,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to každé pondělí a středu v době od 15.00 – 18.00 hod., 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0ECD">
              <w:rPr>
                <w:rFonts w:ascii="Times New Roman" w:hAnsi="Times New Roman"/>
                <w:sz w:val="20"/>
                <w:szCs w:val="20"/>
              </w:rPr>
              <w:t>č.p.</w:t>
            </w:r>
            <w:proofErr w:type="gramEnd"/>
            <w:r w:rsidRPr="00070ECD">
              <w:rPr>
                <w:rFonts w:ascii="Times New Roman" w:hAnsi="Times New Roman"/>
                <w:sz w:val="20"/>
                <w:szCs w:val="20"/>
              </w:rPr>
              <w:t xml:space="preserve"> 77 a jsou vyvěšeny v elektronické podobě na úřední desce obce Bělov.</w:t>
            </w: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DC2395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</w:t>
            </w:r>
          </w:p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ní hospodaření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0B3691" w:rsidRDefault="000B3691">
      <w:pPr>
        <w:sectPr w:rsidR="000B369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3 112 000,00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3 947 615,89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143 376,45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3 285 200,00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4 340 200,00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4 285 192,34</w:t>
            </w:r>
          </w:p>
        </w:tc>
      </w:tr>
    </w:tbl>
    <w:p w:rsidR="000B3691" w:rsidRDefault="000B3691">
      <w:pPr>
        <w:sectPr w:rsidR="000B3691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797 703,16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26 315,87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74 621,98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898 641,01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794 733,19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162 830,00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957 563,19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1 865 000,00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1 856 204,20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1 605 803,58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1 605 803,58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1 605 803,58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165 650,00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165 650,00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195 142,46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290 465,65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290 465,65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290 465,65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3 112 000,00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3 947 615,89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123 290,86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123 290,86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2 463,00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17 550,00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20 013,00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72,59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72,59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143 376,45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143 376,45</w:t>
            </w:r>
          </w:p>
        </w:tc>
      </w:tr>
      <w:tr w:rsidR="000B3691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3 208 000,00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4 130 000,00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4 090 992,34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61 200,00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3 285 200,00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4 340 200,00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4 285 192,34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PLNĚNÍ ROZPOČTU VÝDAJŮ</w:t>
            </w: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3 171 222,61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1 674 767,58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3 024 000,00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5 129 000,00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4 845 990,19</w:t>
            </w:r>
          </w:p>
        </w:tc>
      </w:tr>
    </w:tbl>
    <w:p w:rsidR="000B3691" w:rsidRDefault="000B3691">
      <w:pPr>
        <w:sectPr w:rsidR="000B3691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444 755,00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444 755,00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103 956,00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249 441,00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353 397,00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111 546,00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61 094,00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Ost.pov.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placené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174 435,00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972 587,00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4 780,00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143 038,00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161 416,41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319 200,41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35 693,30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35 693,30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132 345,04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154 251,00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98 269,90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389 658,94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14 757,78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36 966,80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8 079,60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13 310,00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487 999,82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563 660,00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292 799,00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9 534,00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33 382,94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335 715,94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1 222,00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142 128,02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38 045,00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181 395,02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1 825 323,61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19 635,00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19 635,00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19 635,00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114 666,00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148 066,00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164 330,00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r>
              <w:rPr>
                <w:rFonts w:ascii="Arial" w:hAnsi="Arial"/>
                <w:sz w:val="16"/>
              </w:rPr>
              <w:t>veř.rozp.úst.úr.transf.posk.v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min.r.</w:t>
            </w:r>
            <w:proofErr w:type="gramEnd"/>
            <w:r>
              <w:rPr>
                <w:rFonts w:ascii="Arial" w:hAnsi="Arial"/>
                <w:sz w:val="16"/>
              </w:rPr>
              <w:t>obd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13 978,00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178 411,00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346 677,00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6"/>
              </w:rPr>
              <w:t>neinv.transf.</w:t>
            </w:r>
            <w:proofErr w:type="gramStart"/>
            <w:r>
              <w:rPr>
                <w:rFonts w:ascii="Arial" w:hAnsi="Arial"/>
                <w:sz w:val="16"/>
              </w:rPr>
              <w:t>nepodnik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fyzickým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3 171 222,61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1 369 287,58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1 369 287,58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240 480,00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240 480,00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1 674 767,58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1 674 767,58</w:t>
            </w:r>
          </w:p>
        </w:tc>
      </w:tr>
      <w:tr w:rsidR="000B3691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3 024 000,00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5 129 000,00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4 845 990,19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0B3691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261 200,00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788 800,00-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560 797,85-</w:t>
            </w:r>
          </w:p>
        </w:tc>
      </w:tr>
      <w:tr w:rsidR="000B3691">
        <w:trPr>
          <w:cantSplit/>
        </w:trPr>
        <w:tc>
          <w:tcPr>
            <w:tcW w:w="10769" w:type="dxa"/>
            <w:gridSpan w:val="6"/>
          </w:tcPr>
          <w:p w:rsidR="000B3691" w:rsidRDefault="000B3691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6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0B3691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6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94 200,00-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955 800,00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737 156,55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167 000,00-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167 000,00-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176 358,70-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261 200,00-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788 800,00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560 797,85</w:t>
            </w:r>
          </w:p>
        </w:tc>
      </w:tr>
    </w:tbl>
    <w:p w:rsidR="000B3691" w:rsidRDefault="000B3691">
      <w:pPr>
        <w:sectPr w:rsidR="000B3691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0B3691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915 111,61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737 156,55-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177 955,06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737 156,55</w:t>
            </w:r>
          </w:p>
        </w:tc>
      </w:tr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915 111,61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737 156,55-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177 955,06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737 156,55</w:t>
            </w:r>
          </w:p>
        </w:tc>
      </w:tr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V. PENĚŽNÍ FONDY - INFORMATIVNĚ</w:t>
            </w: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0B3691" w:rsidRDefault="000B3691">
      <w:pPr>
        <w:sectPr w:rsidR="000B3691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MAJETEK</w:t>
            </w:r>
          </w:p>
        </w:tc>
      </w:tr>
      <w:tr w:rsidR="000B3691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183 152,40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183 152,40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567 540,00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567 540,00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14 618 712,43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1 585 550,50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16 204 262,93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4 280 129,10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4 280 129,10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1 078 927,86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141 117,00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1 220 044,86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1 619 948,50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240 480,00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1 860 428,50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50 635,00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50 635,00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837 435,63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216 845,50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1 054 281,13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183 152,40-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183 152,40-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328 888,50-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27 905,50-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356 794,00-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5 590 352,80-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349 135,00-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5 939 487,80-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376 025,00-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239 601,00-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615 626,00-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1 078 927,86-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141 117,00-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1 220 044,86-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5 885,40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794,50-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5 090,90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B3691" w:rsidRDefault="000B3691">
      <w:pPr>
        <w:sectPr w:rsidR="000B3691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0B3691" w:rsidRDefault="000B3691">
      <w:pPr>
        <w:sectPr w:rsidR="000B3691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114 666,00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B3691">
        <w:trPr>
          <w:cantSplit/>
        </w:trPr>
        <w:tc>
          <w:tcPr>
            <w:tcW w:w="10769" w:type="dxa"/>
            <w:gridSpan w:val="7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VIII. VYÚČTOVÁNÍ FIN. VZTAHŮ KE ST. ROZPOČTU, ST. FONDŮM A NÁRODNÍMU FONDU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0B3691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16 930,00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1 070,00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13007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chráněné pracovní místo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78 097,00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11 903,00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14 796,00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1 152,00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18 885,00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VRÚÚ transferů </w:t>
            </w:r>
            <w:proofErr w:type="spellStart"/>
            <w:r>
              <w:rPr>
                <w:rFonts w:ascii="Arial" w:hAnsi="Arial"/>
                <w:sz w:val="14"/>
              </w:rPr>
              <w:t>poskyt</w:t>
            </w:r>
            <w:proofErr w:type="spellEnd"/>
            <w:r>
              <w:rPr>
                <w:rFonts w:ascii="Arial" w:hAnsi="Arial"/>
                <w:sz w:val="14"/>
              </w:rPr>
              <w:t xml:space="preserve">. v minulých </w:t>
            </w:r>
            <w:proofErr w:type="spellStart"/>
            <w:r>
              <w:rPr>
                <w:rFonts w:ascii="Arial" w:hAnsi="Arial"/>
                <w:sz w:val="14"/>
              </w:rPr>
              <w:t>rozp.obd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13 978,00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volby - kraj, senát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13 978,00</w:t>
            </w:r>
          </w:p>
        </w:tc>
      </w:tr>
    </w:tbl>
    <w:p w:rsidR="000B3691" w:rsidRDefault="000B3691">
      <w:pPr>
        <w:sectPr w:rsidR="000B3691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2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2F59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XI. OSTATNÍ DOPLŇUJÍCÍ ÚDAJE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tbl>
            <w:tblPr>
              <w:tblW w:w="10769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2F5997" w:rsidTr="002F5997">
              <w:trPr>
                <w:cantSplit/>
              </w:trPr>
              <w:tc>
                <w:tcPr>
                  <w:tcW w:w="1076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lastRenderedPageBreak/>
                    <w:t>V roce 201</w:t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</w:rPr>
                    <w:t>7</w:t>
                  </w: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 byl pořízen z dotací: investiční </w:t>
                  </w:r>
                </w:p>
                <w:p w:rsidR="002F5997" w:rsidRPr="00F81D53" w:rsidRDefault="002F5997" w:rsidP="002F5997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F81D53">
                    <w:rPr>
                      <w:rFonts w:ascii="Times New Roman" w:hAnsi="Times New Roman"/>
                      <w:iCs/>
                      <w:color w:val="000000"/>
                    </w:rPr>
                    <w:t>V roce 201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F81D53">
                    <w:rPr>
                      <w:rFonts w:ascii="Times New Roman" w:hAnsi="Times New Roman"/>
                      <w:iCs/>
                      <w:color w:val="000000"/>
                    </w:rPr>
                    <w:t xml:space="preserve"> nebylo pořízeno nic z investiční dotace – žádná nebyla poskytnuta.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V roce 201</w:t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</w:rPr>
                    <w:t>7</w:t>
                  </w: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 byl pořízen z dotací: neinvestiční</w:t>
                  </w:r>
                </w:p>
                <w:p w:rsidR="002F5997" w:rsidRPr="00065335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V roce 201</w:t>
                  </w:r>
                  <w:r w:rsidR="00AB5D49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nebylo pořízeno nic z neinvestiční dotace – žádná nebyla poskytnuta.</w:t>
                  </w: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Drobný dlouhodobý nehmotný majetek – 018:</w:t>
                  </w:r>
                </w:p>
                <w:p w:rsidR="002F5997" w:rsidRPr="00065335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Nebylo účtováno o přírůstku ani úbytku.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Ostatní dlouhodobý nehmotný majetek – 019:</w:t>
                  </w:r>
                </w:p>
                <w:p w:rsidR="002F5997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Nebylo účtováno o přírůstku ani úbytku.</w:t>
                  </w:r>
                  <w:r w:rsidR="00AB5D49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AB5D49" w:rsidRDefault="00AB5D49" w:rsidP="00990A7A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Pr="00AB5D49" w:rsidRDefault="00AB5D49" w:rsidP="00AB5D49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Drobný dlouhodobý hmotný majetek – 028:</w:t>
                  </w:r>
                </w:p>
                <w:p w:rsidR="002F5997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Default="00AB5D49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Přírůstky 2017: </w:t>
                  </w:r>
                </w:p>
                <w:p w:rsidR="00AB5D49" w:rsidRDefault="00AB5D49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AB5D49" w:rsidRPr="00AB5D49" w:rsidRDefault="00AB5D49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2F5997" w:rsidRPr="00065335" w:rsidRDefault="002F5997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7 260,- 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2 x slunečník se stojanem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27 280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zásahová přilba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8 235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plastový kontejner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17 903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radiostanice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9 540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nádoba na posypový materiál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12 691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pístový kompresor </w:t>
                  </w:r>
                  <w:proofErr w:type="spellStart"/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Atmos</w:t>
                  </w:r>
                  <w:proofErr w:type="spellEnd"/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8 640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dřevěný stánek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5 264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tiskárna Epson </w:t>
                  </w:r>
                </w:p>
                <w:p w:rsidR="002F5997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4 308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nabíječka akumulátorů CTEK M200</w:t>
                  </w:r>
                </w:p>
                <w:p w:rsidR="00AB5D49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14 732,-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 xml:space="preserve"> ocelový venkovní květináč</w:t>
                  </w:r>
                </w:p>
                <w:p w:rsidR="00AB5D49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22 890,-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 křovinořez FS 410</w:t>
                  </w:r>
                </w:p>
                <w:p w:rsidR="00AB5D49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9 940,-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  <w:proofErr w:type="spellStart"/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fotopast</w:t>
                  </w:r>
                  <w:proofErr w:type="spellEnd"/>
                </w:p>
                <w:p w:rsidR="00AB5D49" w:rsidRDefault="00AB5D49" w:rsidP="00AB5D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Pr="00AB5D49" w:rsidRDefault="00AB5D49" w:rsidP="00AB5D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Úbytky 2017:</w:t>
                  </w:r>
                </w:p>
                <w:p w:rsidR="00AB5D49" w:rsidRDefault="00AB5D49" w:rsidP="00AB5D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Pr="00AB5D49" w:rsidRDefault="00AB5D49" w:rsidP="00AB5D49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7 566,-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 xml:space="preserve"> boiler </w:t>
                  </w:r>
                  <w:proofErr w:type="spellStart"/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Ariston</w:t>
                  </w:r>
                  <w:proofErr w:type="spellEnd"/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bookmarkStart w:id="0" w:name="_GoBack"/>
                  <w:bookmarkEnd w:id="0"/>
                  <w:r w:rsidRPr="004A563E">
                    <w:rPr>
                      <w:rFonts w:ascii="Times New Roman" w:hAnsi="Times New Roman"/>
                      <w:b/>
                      <w:iCs/>
                      <w:color w:val="000000"/>
                    </w:rPr>
                    <w:t>Pozemky – 031: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990A7A" w:rsidRDefault="00990A7A" w:rsidP="00990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Přírůstky 2017: </w:t>
                  </w:r>
                </w:p>
                <w:p w:rsidR="00990A7A" w:rsidRDefault="00990A7A" w:rsidP="00990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2F5997" w:rsidRDefault="003B373E" w:rsidP="003B373E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Kupní smlouva  uzavřená  s pí. Marčíková A. – nákup pozemků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Cs/>
                      <w:color w:val="000000"/>
                    </w:rPr>
                    <w:t>p.č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360/39, 360/54, 360/71, a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</w:rPr>
                    <w:t>p.č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</w:rPr>
                    <w:t>. 81 vše ve výši 126 000,-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, (1 0000,- vklad do KN)</w:t>
                  </w:r>
                </w:p>
                <w:p w:rsidR="00140F45" w:rsidRDefault="003B373E" w:rsidP="00140F4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Kupní smlouva uzavřená s Moravské lesní družstvo – nákup pozemků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Cs/>
                      <w:color w:val="000000"/>
                    </w:rPr>
                    <w:t>p.č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st. 146/1, a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</w:rPr>
                    <w:t>p.č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</w:rPr>
                    <w:t>. 122 vše ve výši 110 000,-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, (1 0000,- vklad do KN)</w:t>
                  </w:r>
                </w:p>
                <w:p w:rsidR="00140F45" w:rsidRDefault="003B373E" w:rsidP="00140F4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Darovací smlouva uzavřená s pí. MUDr.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/>
                    </w:rPr>
                    <w:t>Klváčková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H. 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 xml:space="preserve"> – dar pozemku </w:t>
                  </w:r>
                  <w:proofErr w:type="spellStart"/>
                  <w:proofErr w:type="gramStart"/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p.č</w:t>
                  </w:r>
                  <w:proofErr w:type="spellEnd"/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.</w:t>
                  </w:r>
                  <w:proofErr w:type="gramEnd"/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 xml:space="preserve"> 273/26, (1 0000,- vklad do KN)</w:t>
                  </w:r>
                </w:p>
                <w:p w:rsidR="00140F45" w:rsidRDefault="00140F45" w:rsidP="00140F4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Kupní smlouva uzavřená s p. Čáp V. – nákup pozemku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Cs/>
                      <w:color w:val="000000"/>
                    </w:rPr>
                    <w:t>p.č</w:t>
                  </w:r>
                  <w:proofErr w:type="spellEnd"/>
                  <w:r>
                    <w:rPr>
                      <w:rFonts w:ascii="Times New Roman" w:hAnsi="Times New Roman"/>
                      <w:iCs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501/2 ve výši 480,-, (1 0000,- vklad do KN)</w:t>
                  </w:r>
                </w:p>
                <w:p w:rsidR="00140F45" w:rsidRDefault="00140F45" w:rsidP="00140F45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140F45" w:rsidRDefault="00140F45" w:rsidP="00140F45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140F45" w:rsidRPr="00140F45" w:rsidRDefault="00140F45" w:rsidP="00140F45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140F45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Přírůstky</w:t>
                  </w:r>
                  <w:r w:rsidR="002E3BA8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, úbytky</w:t>
                  </w:r>
                  <w:r w:rsidRPr="00140F45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 – převod</w:t>
                  </w:r>
                  <w:r w:rsidR="002E3BA8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y mezi účty pozemků</w:t>
                  </w:r>
                  <w:r w:rsidRPr="00140F45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:</w:t>
                  </w:r>
                </w:p>
                <w:p w:rsidR="003B373E" w:rsidRDefault="003B373E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065335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Převod  v hodnotě 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21 645,-</w:t>
                  </w:r>
                  <w:proofErr w:type="gramStart"/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>p.č.</w:t>
                  </w:r>
                  <w:proofErr w:type="gramEnd"/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 xml:space="preserve"> 359/4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na 031/0600 věcné břemeno </w:t>
                  </w:r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 xml:space="preserve">z 031.0310 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– </w:t>
                  </w:r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>Karličtí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>, přípojka NN</w:t>
                  </w:r>
                </w:p>
                <w:p w:rsidR="002F5997" w:rsidRDefault="002F5997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Pr="00065335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lastRenderedPageBreak/>
                    <w:t xml:space="preserve">Stavby – 021: </w:t>
                  </w:r>
                </w:p>
                <w:p w:rsidR="00E44EC0" w:rsidRDefault="00E44EC0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</w:p>
                <w:p w:rsidR="00E44EC0" w:rsidRDefault="00E44EC0" w:rsidP="00E44E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Přírůstky 2017: </w:t>
                  </w:r>
                </w:p>
                <w:p w:rsidR="00E44EC0" w:rsidRPr="00E44EC0" w:rsidRDefault="00E44EC0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E44EC0" w:rsidRDefault="00E44EC0" w:rsidP="00E44EC0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E44EC0">
                    <w:rPr>
                      <w:rFonts w:ascii="Times New Roman" w:hAnsi="Times New Roman"/>
                      <w:iCs/>
                      <w:color w:val="000000"/>
                    </w:rPr>
                    <w:t>1 044 165,- komunikace</w:t>
                  </w:r>
                </w:p>
                <w:p w:rsidR="00E44EC0" w:rsidRPr="00E44EC0" w:rsidRDefault="00E44EC0" w:rsidP="00E44EC0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541 385,- veřejné osvětlení</w:t>
                  </w:r>
                </w:p>
                <w:p w:rsidR="00E44EC0" w:rsidRDefault="00E44EC0" w:rsidP="00E44E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E44EC0" w:rsidRPr="00E44EC0" w:rsidRDefault="00E44EC0" w:rsidP="00E44E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Samostatné movité věci – 022:</w:t>
                  </w:r>
                </w:p>
                <w:p w:rsidR="00990A7A" w:rsidRDefault="00990A7A" w:rsidP="00990A7A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Nebylo účtováno o přírůstku ani úbytku.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00"/>
                    </w:rPr>
                    <w:t>Majetek daný do zástavy</w:t>
                  </w: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: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Na vybudování plynofikace byl přijat úvěr ve výši 2 500 000,00, s tímhle poskytnutým úvěrem byla daná do zástavy budova s číslem popisným 25 – budova místního obchodu + parcelní číslo st. 152 – zastavěná plocha a nádvoří obchodu.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Finanční prostředky: 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Pokladna k </w:t>
                  </w:r>
                  <w:proofErr w:type="gramStart"/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31.12.201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proofErr w:type="gramEnd"/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ve výši 0,00 Kč.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Základní běžný účet je vedený u Komerční banky, a.s., pobočka Kroměříž, zůstatek k </w:t>
                  </w:r>
                  <w:proofErr w:type="gramStart"/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31.12.201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proofErr w:type="gramEnd"/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ve výši 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2 936,93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Kč.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Základní běžný účet je vedený u České národní banky, a.s., pobočka Brno, zůstatek k </w:t>
                  </w:r>
                  <w:proofErr w:type="gramStart"/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31.12.201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proofErr w:type="gramEnd"/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ve výši 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175 018,13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Kč</w:t>
                  </w:r>
                </w:p>
                <w:p w:rsidR="002F5997" w:rsidRPr="00C312B3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:rsidR="002F5997" w:rsidRPr="00C312B3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F5997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2F5997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b/>
                <w:iCs/>
                <w:color w:val="000000"/>
              </w:rPr>
            </w:pPr>
            <w:r w:rsidRPr="00AA1D6D">
              <w:rPr>
                <w:rFonts w:ascii="Times New Roman" w:hAnsi="Times New Roman"/>
                <w:b/>
                <w:iCs/>
                <w:color w:val="000000"/>
              </w:rPr>
              <w:t>Úvěry: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>Obec přijala v roce 2011 úvěr ve výši 2 500 000,00 Kč na Plynofikace obce Bělov, úvěr je splatný v březnu roku 2026. Zůstatek k </w:t>
            </w:r>
            <w:proofErr w:type="gramStart"/>
            <w:r w:rsidRPr="00AA1D6D">
              <w:rPr>
                <w:rFonts w:ascii="Times New Roman" w:hAnsi="Times New Roman"/>
                <w:iCs/>
                <w:color w:val="000000"/>
              </w:rPr>
              <w:t>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proofErr w:type="gramEnd"/>
            <w:r w:rsidRPr="00AA1D6D">
              <w:rPr>
                <w:rFonts w:ascii="Times New Roman" w:hAnsi="Times New Roman"/>
                <w:iCs/>
                <w:color w:val="000000"/>
              </w:rPr>
              <w:t xml:space="preserve"> činí 1</w:t>
            </w:r>
            <w:r w:rsidR="00990A7A">
              <w:rPr>
                <w:rFonts w:ascii="Times New Roman" w:hAnsi="Times New Roman"/>
                <w:iCs/>
                <w:color w:val="000000"/>
              </w:rPr>
              <w:t> 604 981,73</w:t>
            </w:r>
            <w:r w:rsidRPr="00AA1D6D">
              <w:rPr>
                <w:rFonts w:ascii="Times New Roman" w:hAnsi="Times New Roman"/>
                <w:iCs/>
                <w:color w:val="000000"/>
              </w:rPr>
              <w:t xml:space="preserve"> Kč.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 xml:space="preserve">Rozvaha ke dni </w:t>
            </w:r>
            <w:proofErr w:type="gramStart"/>
            <w:r w:rsidRPr="00AA1D6D">
              <w:rPr>
                <w:rFonts w:ascii="Times New Roman" w:hAnsi="Times New Roman"/>
                <w:iCs/>
                <w:color w:val="000000"/>
              </w:rPr>
              <w:t>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proofErr w:type="gramEnd"/>
            <w:r w:rsidRPr="00AA1D6D">
              <w:rPr>
                <w:rFonts w:ascii="Times New Roman" w:hAnsi="Times New Roman"/>
                <w:iCs/>
                <w:color w:val="000000"/>
              </w:rPr>
              <w:t xml:space="preserve"> -  přílohou  k Závěrečnému účtu obce Bělov za rok 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b/>
                <w:iCs/>
                <w:color w:val="000000"/>
              </w:rPr>
            </w:pPr>
            <w:r w:rsidRPr="00AA1D6D">
              <w:rPr>
                <w:rFonts w:ascii="Times New Roman" w:hAnsi="Times New Roman"/>
                <w:b/>
                <w:iCs/>
                <w:color w:val="000000"/>
              </w:rPr>
              <w:t>Výsledek hospodaření: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2D7480">
              <w:rPr>
                <w:rFonts w:ascii="Times New Roman" w:hAnsi="Times New Roman"/>
                <w:iCs/>
                <w:color w:val="000000"/>
              </w:rPr>
              <w:t xml:space="preserve">Výsledek hospodaření po zdanění činí </w:t>
            </w:r>
            <w:r w:rsidR="00E44EC0">
              <w:rPr>
                <w:rFonts w:ascii="Times New Roman" w:hAnsi="Times New Roman"/>
                <w:iCs/>
                <w:color w:val="000000"/>
              </w:rPr>
              <w:t>682 855,68</w:t>
            </w:r>
            <w:r w:rsidRPr="002D7480">
              <w:rPr>
                <w:rFonts w:ascii="Times New Roman" w:hAnsi="Times New Roman"/>
                <w:iCs/>
                <w:color w:val="000000"/>
              </w:rPr>
              <w:t xml:space="preserve"> Kč.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>Výkaz zisku a ztrát k </w:t>
            </w:r>
            <w:proofErr w:type="gramStart"/>
            <w:r w:rsidRPr="00AA1D6D">
              <w:rPr>
                <w:rFonts w:ascii="Times New Roman" w:hAnsi="Times New Roman"/>
                <w:iCs/>
                <w:color w:val="000000"/>
              </w:rPr>
              <w:t>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proofErr w:type="gramEnd"/>
            <w:r w:rsidRPr="00AA1D6D">
              <w:rPr>
                <w:rFonts w:ascii="Times New Roman" w:hAnsi="Times New Roman"/>
                <w:iCs/>
                <w:color w:val="000000"/>
              </w:rPr>
              <w:t xml:space="preserve"> je přílohou  k  Závěrečnému účtu obce Bělov za rok 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 xml:space="preserve">Výkaz </w:t>
            </w:r>
            <w:proofErr w:type="spellStart"/>
            <w:r w:rsidRPr="00AA1D6D">
              <w:rPr>
                <w:rFonts w:ascii="Times New Roman" w:hAnsi="Times New Roman"/>
                <w:iCs/>
                <w:color w:val="000000"/>
              </w:rPr>
              <w:t>fin</w:t>
            </w:r>
            <w:proofErr w:type="spellEnd"/>
            <w:r w:rsidRPr="00AA1D6D">
              <w:rPr>
                <w:rFonts w:ascii="Times New Roman" w:hAnsi="Times New Roman"/>
                <w:iCs/>
                <w:color w:val="000000"/>
              </w:rPr>
              <w:t xml:space="preserve"> 2 – 12 k </w:t>
            </w:r>
            <w:proofErr w:type="gramStart"/>
            <w:r w:rsidRPr="00AA1D6D">
              <w:rPr>
                <w:rFonts w:ascii="Times New Roman" w:hAnsi="Times New Roman"/>
                <w:iCs/>
                <w:color w:val="000000"/>
              </w:rPr>
              <w:t>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proofErr w:type="gramEnd"/>
            <w:r w:rsidRPr="00AA1D6D">
              <w:rPr>
                <w:rFonts w:ascii="Times New Roman" w:hAnsi="Times New Roman"/>
                <w:iCs/>
                <w:color w:val="000000"/>
              </w:rPr>
              <w:t xml:space="preserve"> je přílohou k Závěrečnému účtu obce Bělov za rok 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  <w:b/>
              </w:rPr>
              <w:t>Vyúčtování finančních vztahů ke státnímu rozpočtu a ostatním rozpočtům ústřední úrovně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Údaje v tabulce jsou v Kč</w:t>
            </w:r>
          </w:p>
          <w:tbl>
            <w:tblPr>
              <w:tblW w:w="9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026"/>
              <w:gridCol w:w="2760"/>
              <w:gridCol w:w="1305"/>
              <w:gridCol w:w="1305"/>
              <w:gridCol w:w="1215"/>
            </w:tblGrid>
            <w:tr w:rsidR="002F5997" w:rsidRPr="00AA1D6D" w:rsidTr="002F5997">
              <w:trPr>
                <w:trHeight w:val="31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Poskytovatel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ÚZ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Účel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Příjem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Čerpání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Vráceno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SR - MF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Neinvestiční příspěvek na výkon st. Správy – </w:t>
                  </w:r>
                  <w:proofErr w:type="spellStart"/>
                  <w:r w:rsidRPr="00AA1D6D">
                    <w:rPr>
                      <w:rFonts w:ascii="Times New Roman" w:hAnsi="Times New Roman"/>
                      <w:color w:val="000000"/>
                    </w:rPr>
                    <w:t>pol</w:t>
                  </w:r>
                  <w:proofErr w:type="spellEnd"/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4112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61 200,00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61 200,00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SR - VPS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13007</w:t>
                  </w:r>
                </w:p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13101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Dotace na VPP – </w:t>
                  </w:r>
                  <w:proofErr w:type="spellStart"/>
                  <w:r w:rsidRPr="00AA1D6D">
                    <w:rPr>
                      <w:rFonts w:ascii="Times New Roman" w:hAnsi="Times New Roman"/>
                      <w:color w:val="000000"/>
                    </w:rPr>
                    <w:t>pol</w:t>
                  </w:r>
                  <w:proofErr w:type="spellEnd"/>
                  <w:r w:rsidRPr="00AA1D6D">
                    <w:rPr>
                      <w:rFonts w:ascii="Times New Roman" w:hAnsi="Times New Roman"/>
                      <w:color w:val="000000"/>
                    </w:rPr>
                    <w:t>- 4116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108 000,00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2F5997" w:rsidRPr="00AA1D6D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="002F5997" w:rsidRPr="00AA1D6D">
                    <w:rPr>
                      <w:rFonts w:ascii="Times New Roman" w:hAnsi="Times New Roman"/>
                    </w:rPr>
                    <w:t> 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ZK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104C0D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98071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Dotace na volby – pol. 4111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104C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1D6D">
                    <w:rPr>
                      <w:rFonts w:ascii="Times New Roman" w:hAnsi="Times New Roman"/>
                    </w:rPr>
                    <w:t>2</w:t>
                  </w:r>
                  <w:r w:rsidR="00104C0D">
                    <w:rPr>
                      <w:rFonts w:ascii="Times New Roman" w:hAnsi="Times New Roman"/>
                    </w:rPr>
                    <w:t>5</w:t>
                  </w:r>
                  <w:r w:rsidRPr="00AA1D6D">
                    <w:rPr>
                      <w:rFonts w:ascii="Times New Roman" w:hAnsi="Times New Roman"/>
                    </w:rPr>
                    <w:t> 000,00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104C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1D6D">
                    <w:rPr>
                      <w:rFonts w:ascii="Times New Roman" w:hAnsi="Times New Roman"/>
                    </w:rPr>
                    <w:t>2</w:t>
                  </w:r>
                  <w:r w:rsidR="00104C0D">
                    <w:rPr>
                      <w:rFonts w:ascii="Times New Roman" w:hAnsi="Times New Roman"/>
                    </w:rPr>
                    <w:t>5</w:t>
                  </w:r>
                  <w:r w:rsidRPr="00AA1D6D">
                    <w:rPr>
                      <w:rFonts w:ascii="Times New Roman" w:hAnsi="Times New Roman"/>
                    </w:rPr>
                    <w:t> 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2F5997" w:rsidRPr="00AA1D6D" w:rsidTr="002F5997">
              <w:trPr>
                <w:trHeight w:val="345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CELKEM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104C0D" w:rsidP="00104C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194</w:t>
                  </w:r>
                  <w:r w:rsidR="002F5997"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  <w:r w:rsidR="002F5997"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104C0D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194</w:t>
                  </w: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AA1D6D">
                    <w:rPr>
                      <w:rFonts w:ascii="Times New Roman" w:hAnsi="Times New Roman"/>
                      <w:b/>
                      <w:color w:val="000000"/>
                    </w:rPr>
                    <w:t>0,00</w:t>
                  </w:r>
                </w:p>
              </w:tc>
            </w:tr>
          </w:tbl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Přijaté dotace byly čerpány v souladu s účelovým určením. Dotace byly vyúčtovány a vypořádány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  <w:b/>
              </w:rPr>
              <w:t>Poskytnuté transfery veřejným rozpočtům územní úrovně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Údaje v tabulce jsou v Kč</w:t>
            </w:r>
          </w:p>
          <w:tbl>
            <w:tblPr>
              <w:tblW w:w="806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2694"/>
              <w:gridCol w:w="707"/>
              <w:gridCol w:w="740"/>
              <w:gridCol w:w="1643"/>
            </w:tblGrid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Příjemce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Účel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ODPA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POL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Částka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Zlínský kraj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 - dopravní obslužnost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104C0D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2229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104C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="00104C0D">
                    <w:rPr>
                      <w:rFonts w:ascii="Times New Roman" w:hAnsi="Times New Roman"/>
                      <w:color w:val="000000"/>
                    </w:rPr>
                    <w:t>31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 800,00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lastRenderedPageBreak/>
                    <w:t>Dopravní společnost Otrokovice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 - dopravní obslužnost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2221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5193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104C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="00104C0D">
                    <w:rPr>
                      <w:rFonts w:ascii="Times New Roman" w:hAnsi="Times New Roman"/>
                      <w:color w:val="000000"/>
                    </w:rPr>
                    <w:t xml:space="preserve">142 128,02  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Město Otrokovice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výdaje, MŚ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3111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104C0D" w:rsidP="002F599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84 666,00</w:t>
                  </w:r>
                  <w:r w:rsidR="002F5997" w:rsidRPr="00AA1D6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Město Otrokovice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výdaje, ZŠ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3113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104C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   </w:t>
                  </w:r>
                  <w:r w:rsidR="00104C0D">
                    <w:rPr>
                      <w:rFonts w:ascii="Times New Roman" w:hAnsi="Times New Roman"/>
                      <w:color w:val="000000"/>
                    </w:rPr>
                    <w:t>21 000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</w:tr>
            <w:tr w:rsidR="002F5997" w:rsidRPr="00AA1D6D" w:rsidTr="00C92B0F">
              <w:trPr>
                <w:trHeight w:val="11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Sdružení obcí pro rozvoj Baťova kanálu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výdaje, členský příspěvek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2239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5329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C92B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    1 </w:t>
                  </w:r>
                  <w:r w:rsidR="00C92B0F">
                    <w:rPr>
                      <w:rFonts w:ascii="Times New Roman" w:hAnsi="Times New Roman"/>
                      <w:color w:val="000000"/>
                    </w:rPr>
                    <w:t>600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,00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Celkem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C92B0F" w:rsidP="002F599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249  394,02</w:t>
                  </w:r>
                  <w:r w:rsidR="002F5997"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2F5997" w:rsidRDefault="002F5997" w:rsidP="002F599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 xml:space="preserve">Obec je členem Mikroregionu </w:t>
            </w:r>
            <w:proofErr w:type="spellStart"/>
            <w:r w:rsidRPr="00AA1D6D">
              <w:rPr>
                <w:rFonts w:ascii="Times New Roman" w:hAnsi="Times New Roman"/>
              </w:rPr>
              <w:t>Otrokovicko</w:t>
            </w:r>
            <w:proofErr w:type="spellEnd"/>
            <w:r w:rsidRPr="00AA1D6D">
              <w:rPr>
                <w:rFonts w:ascii="Times New Roman" w:hAnsi="Times New Roman"/>
              </w:rPr>
              <w:t xml:space="preserve"> a Sdružení pro rozvoj Baťova kanálu a Vodní cesty na řece Moravě.</w:t>
            </w:r>
          </w:p>
          <w:p w:rsidR="002F5997" w:rsidRPr="00AA1D6D" w:rsidRDefault="002F5997" w:rsidP="002F59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F5997" w:rsidRPr="002D7480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7480">
              <w:rPr>
                <w:rFonts w:ascii="Times New Roman" w:hAnsi="Times New Roman"/>
                <w:b/>
              </w:rPr>
              <w:t>Poskytnuté dary ostatním organizacím, občanským sdružením, občanům</w:t>
            </w:r>
          </w:p>
          <w:p w:rsidR="002F5997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480">
              <w:rPr>
                <w:rFonts w:ascii="Times New Roman" w:hAnsi="Times New Roman"/>
              </w:rPr>
              <w:t>Údaje v tabulce jsou v</w:t>
            </w:r>
            <w:r>
              <w:rPr>
                <w:rFonts w:ascii="Times New Roman" w:hAnsi="Times New Roman"/>
              </w:rPr>
              <w:t> </w:t>
            </w:r>
            <w:r w:rsidRPr="002D7480">
              <w:rPr>
                <w:rFonts w:ascii="Times New Roman" w:hAnsi="Times New Roman"/>
              </w:rPr>
              <w:t>Kč</w:t>
            </w:r>
          </w:p>
          <w:p w:rsidR="002F5997" w:rsidRPr="002D7480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842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2268"/>
              <w:gridCol w:w="815"/>
              <w:gridCol w:w="1780"/>
            </w:tblGrid>
            <w:tr w:rsidR="002F5997" w:rsidRPr="002D7480" w:rsidTr="002F5997">
              <w:trPr>
                <w:trHeight w:val="300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Příjemce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Účel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POL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Částka</w:t>
                  </w:r>
                </w:p>
              </w:tc>
            </w:tr>
            <w:tr w:rsidR="002F5997" w:rsidRPr="002D7480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>Myslivecké sdružení Kvasice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>Příspěvek na činnost a rozvoj myslivosti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 xml:space="preserve">      5 000,00 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Hasiči Kroměříž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Členský příspěvek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 xml:space="preserve">        235,00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MAS Jižní Haná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Členský příspěvek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6 400,00</w:t>
                  </w:r>
                </w:p>
              </w:tc>
            </w:tr>
            <w:tr w:rsidR="00C92B0F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Spolek včelaři Kvasice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5 000,00</w:t>
                  </w:r>
                </w:p>
              </w:tc>
            </w:tr>
            <w:tr w:rsidR="00C92B0F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Modelářský k</w:t>
                  </w:r>
                  <w:r w:rsidR="003B373E">
                    <w:rPr>
                      <w:rFonts w:ascii="Times New Roman" w:hAnsi="Times New Roman"/>
                      <w:color w:val="000000"/>
                    </w:rPr>
                    <w:t>l</w:t>
                  </w:r>
                  <w:r>
                    <w:rPr>
                      <w:rFonts w:ascii="Times New Roman" w:hAnsi="Times New Roman"/>
                      <w:color w:val="000000"/>
                    </w:rPr>
                    <w:t>ub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Default="00C92B0F" w:rsidP="00C92B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3 000,00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Sociální služby města Kroměříž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  <w:r w:rsidR="002F5997" w:rsidRPr="00DA1799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5339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8 700,00</w:t>
                  </w:r>
                </w:p>
              </w:tc>
            </w:tr>
            <w:tr w:rsidR="00792529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Domov pro Seniory Napajedla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5339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9 000,00</w:t>
                  </w:r>
                </w:p>
              </w:tc>
            </w:tr>
            <w:tr w:rsidR="00792529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Charita sv. Anežky Otrokovice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5339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2 500,00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Celkem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    39 835,00</w:t>
                  </w:r>
                  <w:r w:rsidR="002F5997"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  <w:b/>
              </w:rPr>
              <w:t>Vedení účetnictví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 xml:space="preserve">Obec Bělov zpracovává účetnictví programem GINIS od firmy </w:t>
            </w:r>
            <w:proofErr w:type="spellStart"/>
            <w:r w:rsidRPr="00AA1D6D">
              <w:rPr>
                <w:rFonts w:ascii="Times New Roman" w:hAnsi="Times New Roman"/>
              </w:rPr>
              <w:t>Gordic</w:t>
            </w:r>
            <w:proofErr w:type="spellEnd"/>
            <w:r w:rsidRPr="00AA1D6D">
              <w:rPr>
                <w:rFonts w:ascii="Times New Roman" w:hAnsi="Times New Roman"/>
              </w:rPr>
              <w:t xml:space="preserve"> s.r.o. 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Obec Bělov v roce 201</w:t>
            </w:r>
            <w:r w:rsidR="00E44EC0">
              <w:rPr>
                <w:rFonts w:ascii="Times New Roman" w:hAnsi="Times New Roman"/>
              </w:rPr>
              <w:t>7</w:t>
            </w:r>
            <w:r w:rsidRPr="00AA1D6D">
              <w:rPr>
                <w:rFonts w:ascii="Times New Roman" w:hAnsi="Times New Roman"/>
              </w:rPr>
              <w:t xml:space="preserve"> neprovozovala hospodářskou činnost. 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Obec Bělov nebyla v roce 201</w:t>
            </w:r>
            <w:r w:rsidR="00E44EC0">
              <w:rPr>
                <w:rFonts w:ascii="Times New Roman" w:hAnsi="Times New Roman"/>
              </w:rPr>
              <w:t>7</w:t>
            </w:r>
            <w:r w:rsidRPr="00AA1D6D">
              <w:rPr>
                <w:rFonts w:ascii="Times New Roman" w:hAnsi="Times New Roman"/>
              </w:rPr>
              <w:t xml:space="preserve"> plátcem DPH. 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</w:rPr>
              <w:t>Rozvahový den, k němuž byla účetní závěrka sestavena</w:t>
            </w:r>
            <w:r w:rsidRPr="00AA1D6D">
              <w:rPr>
                <w:rFonts w:ascii="Times New Roman" w:hAnsi="Times New Roman"/>
                <w:b/>
              </w:rPr>
              <w:t>: 31. 12. 201</w:t>
            </w:r>
            <w:r w:rsidR="00E44EC0">
              <w:rPr>
                <w:rFonts w:ascii="Times New Roman" w:hAnsi="Times New Roman"/>
                <w:b/>
              </w:rPr>
              <w:t>7</w:t>
            </w:r>
            <w:r w:rsidRPr="00AA1D6D">
              <w:rPr>
                <w:rFonts w:ascii="Times New Roman" w:hAnsi="Times New Roman"/>
                <w:b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D6D">
              <w:rPr>
                <w:rFonts w:ascii="Times New Roman" w:hAnsi="Times New Roman"/>
                <w:color w:val="000000"/>
              </w:rPr>
              <w:t xml:space="preserve">Připomínky k návrhu závěrečného účtu mohou občané uplatnit buď písemně ve lhůtě do dne před konáním se zasedání zastupitelstva, které je plánované na měsíc červen </w:t>
            </w:r>
            <w:r>
              <w:rPr>
                <w:rFonts w:ascii="Times New Roman" w:hAnsi="Times New Roman"/>
                <w:color w:val="000000"/>
              </w:rPr>
              <w:t>roku 201</w:t>
            </w:r>
            <w:r w:rsidR="00E44EC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1D6D">
              <w:rPr>
                <w:rFonts w:ascii="Times New Roman" w:hAnsi="Times New Roman"/>
                <w:color w:val="000000"/>
              </w:rPr>
              <w:t>nebo ústně na zasedání zastupitelstva, na kterém bude návrh závěrečného účtu projednáván.</w:t>
            </w:r>
          </w:p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Alžběta Vaculová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lastRenderedPageBreak/>
              <w:t>Osoba odpovědná za rozpočet</w:t>
            </w:r>
          </w:p>
        </w:tc>
        <w:tc>
          <w:tcPr>
            <w:tcW w:w="77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Alžběta Vaculová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Jiří Přecechtěl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F5997" w:rsidRDefault="002F5997"/>
    <w:sectPr w:rsidR="002F5997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39" w:rsidRDefault="00973639">
      <w:pPr>
        <w:spacing w:after="0" w:line="240" w:lineRule="auto"/>
      </w:pPr>
      <w:r>
        <w:separator/>
      </w:r>
    </w:p>
  </w:endnote>
  <w:endnote w:type="continuationSeparator" w:id="0">
    <w:p w:rsidR="00973639" w:rsidRDefault="009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A563E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39" w:rsidRDefault="00973639">
      <w:pPr>
        <w:spacing w:after="0" w:line="240" w:lineRule="auto"/>
      </w:pPr>
      <w:r>
        <w:separator/>
      </w:r>
    </w:p>
  </w:footnote>
  <w:footnote w:type="continuationSeparator" w:id="0">
    <w:p w:rsidR="00973639" w:rsidRDefault="0097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2F599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10769" w:type="dxa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Bělov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4522" w:type="dxa"/>
          <w:gridSpan w:val="3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2F5997" w:rsidRDefault="002F5997"/>
      </w:tc>
      <w:tc>
        <w:tcPr>
          <w:tcW w:w="4523" w:type="dxa"/>
          <w:gridSpan w:val="2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2017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5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8"/>
      <w:gridCol w:w="1830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2F5997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2F599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10769" w:type="dxa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Bělov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4522" w:type="dxa"/>
          <w:gridSpan w:val="3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2F5997" w:rsidRDefault="002F5997"/>
      </w:tc>
      <w:tc>
        <w:tcPr>
          <w:tcW w:w="4523" w:type="dxa"/>
          <w:gridSpan w:val="2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2017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5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V. PENĚŽNÍ FONDY - INFORMATIVNĚ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10769" w:type="dxa"/>
          <w:gridSpan w:val="5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2F599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2F599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2F5997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8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2F5997">
      <w:trPr>
        <w:cantSplit/>
      </w:trPr>
      <w:tc>
        <w:tcPr>
          <w:tcW w:w="0" w:type="auto"/>
          <w:gridSpan w:val="8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EF6"/>
    <w:multiLevelType w:val="hybridMultilevel"/>
    <w:tmpl w:val="CD26A574"/>
    <w:lvl w:ilvl="0" w:tplc="E77044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1"/>
    <w:rsid w:val="000B3691"/>
    <w:rsid w:val="00104C0D"/>
    <w:rsid w:val="00140F45"/>
    <w:rsid w:val="001D0FBE"/>
    <w:rsid w:val="002E3BA8"/>
    <w:rsid w:val="002F5997"/>
    <w:rsid w:val="003B373E"/>
    <w:rsid w:val="004502C5"/>
    <w:rsid w:val="004A563E"/>
    <w:rsid w:val="00792529"/>
    <w:rsid w:val="008107C2"/>
    <w:rsid w:val="00973639"/>
    <w:rsid w:val="00990A7A"/>
    <w:rsid w:val="00AB5D49"/>
    <w:rsid w:val="00C92B0F"/>
    <w:rsid w:val="00DC2395"/>
    <w:rsid w:val="00E44EC0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037C-D155-49C6-B19A-C4710CD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95"/>
  </w:style>
  <w:style w:type="paragraph" w:styleId="Zpat">
    <w:name w:val="footer"/>
    <w:basedOn w:val="Normln"/>
    <w:link w:val="ZpatChar"/>
    <w:uiPriority w:val="99"/>
    <w:unhideWhenUsed/>
    <w:rsid w:val="00DC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95"/>
  </w:style>
  <w:style w:type="paragraph" w:styleId="Odstavecseseznamem">
    <w:name w:val="List Paragraph"/>
    <w:basedOn w:val="Normln"/>
    <w:uiPriority w:val="34"/>
    <w:qFormat/>
    <w:rsid w:val="002F5997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3171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</dc:creator>
  <cp:lastModifiedBy>Alžběta</cp:lastModifiedBy>
  <cp:revision>8</cp:revision>
  <dcterms:created xsi:type="dcterms:W3CDTF">2018-05-24T13:15:00Z</dcterms:created>
  <dcterms:modified xsi:type="dcterms:W3CDTF">2018-05-28T13:08:00Z</dcterms:modified>
</cp:coreProperties>
</file>