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0B3691">
        <w:trPr>
          <w:cantSplit/>
        </w:trPr>
        <w:tc>
          <w:tcPr>
            <w:tcW w:w="1076" w:type="dxa"/>
          </w:tcPr>
          <w:p w:rsidR="000B3691" w:rsidRDefault="000B3691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6" w:type="dxa"/>
          </w:tcPr>
          <w:p w:rsidR="000B3691" w:rsidRDefault="002F5997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sestavený ke dni 24.05.2018</w:t>
            </w:r>
          </w:p>
        </w:tc>
        <w:tc>
          <w:tcPr>
            <w:tcW w:w="1077" w:type="dxa"/>
          </w:tcPr>
          <w:p w:rsidR="000B3691" w:rsidRDefault="000B3691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0B3691" w:rsidRDefault="000B3691">
      <w:pPr>
        <w:sectPr w:rsidR="000B3691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00287032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Bělov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Bělov 77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Bělov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76821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573358071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0B3691" w:rsidRDefault="00DC239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573358071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belov@centrum.cz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0B3691" w:rsidRDefault="00DC239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www.belov.cz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Zastupitelstvo obce: 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Počet členů zastupitelstva obce: 7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Složení zastupitelstva obce k 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Jiří Přecechtěl, Ladislav Škrabal, Ing. Zdeňka Daňková, Jaroslava Večeřová, Ing. Martina Šimčíková, Zdeněk Nevařil,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Alois Daněk</w:t>
            </w: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Starosta: Jiří Přecechtěl, neuvolněný pro funkci.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color w:val="000000"/>
                <w:sz w:val="20"/>
                <w:szCs w:val="20"/>
              </w:rPr>
              <w:t>Místostarosta: Ladislav Škrabal, neuvolněný pro funkci.</w:t>
            </w:r>
          </w:p>
          <w:p w:rsidR="00DC2395" w:rsidRPr="00070ECD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9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Kontrolní výbor: předseda – ing. Martina Šimčíková, členové – Alois Daněk, Blanka Vojtková. </w:t>
            </w: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2395" w:rsidRPr="00375983" w:rsidRDefault="00DC2395" w:rsidP="00DC239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983">
              <w:rPr>
                <w:rFonts w:ascii="Times New Roman" w:hAnsi="Times New Roman"/>
                <w:color w:val="000000"/>
                <w:sz w:val="20"/>
                <w:szCs w:val="20"/>
              </w:rPr>
              <w:t>Finanční výbor: předseda -  ing. Zdeňka Daňková, členové – Jaroslava Večeřová, Zdeněk Nevařil.</w:t>
            </w:r>
          </w:p>
          <w:p w:rsidR="00DC2395" w:rsidRPr="00283CD0" w:rsidRDefault="00DC2395" w:rsidP="00DC2395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0ECD">
              <w:rPr>
                <w:rFonts w:ascii="Times New Roman" w:hAnsi="Times New Roman"/>
                <w:sz w:val="20"/>
                <w:szCs w:val="20"/>
                <w:u w:val="single"/>
              </w:rPr>
              <w:t>Obecní úřad: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zaměstnanců k 31. 12. 2017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Počet zaměstnanců na veřejně prospěšných pracích v roce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Příloha č. 1 – Rozvaha k 31. 12.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Příloha č. 2 – Výkaz zisku a ztrát k 31. 12.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Příloha č. 3 – Výkaz fin 2-12 k 31.12.201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Příloha č. 4 – Příloha k 31.12.2017</w:t>
            </w:r>
          </w:p>
          <w:p w:rsidR="00DC2395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 xml:space="preserve">Příloha č.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 – Zpráva o výsledku přezkoumání hospodaření obce Bělov za rok 201</w:t>
            </w:r>
            <w:r>
              <w:rPr>
                <w:rFonts w:ascii="Times New Roman" w:hAnsi="Times New Roman"/>
                <w:sz w:val="20"/>
                <w:szCs w:val="20"/>
              </w:rPr>
              <w:t>7 (bude k dispozici po datu 6.6.2018 – ukončení auditu)</w:t>
            </w:r>
          </w:p>
          <w:p w:rsidR="00DC2395" w:rsidRPr="00070ECD" w:rsidRDefault="00DC2395" w:rsidP="00DC23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  <w:r w:rsidRPr="00070ECD">
              <w:rPr>
                <w:rFonts w:ascii="Times New Roman" w:hAnsi="Times New Roman"/>
                <w:sz w:val="20"/>
                <w:szCs w:val="20"/>
              </w:rPr>
              <w:t>Přílohy jsou k nahlédnutí v úředních hodinách na OÚ Bělov,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to každé pondělí a středu v době od 15.00 – 18.00 hod., </w:t>
            </w:r>
            <w:r w:rsidRPr="00070ECD">
              <w:rPr>
                <w:rFonts w:ascii="Times New Roman" w:hAnsi="Times New Roman"/>
                <w:sz w:val="20"/>
                <w:szCs w:val="20"/>
              </w:rPr>
              <w:t xml:space="preserve"> č.p. 77 a jsou vyvěšeny v elektronické podobě na úřední desce obce Bělov.</w:t>
            </w: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sz w:val="20"/>
                <w:szCs w:val="20"/>
              </w:rPr>
            </w:pPr>
          </w:p>
          <w:p w:rsidR="00DC2395" w:rsidRDefault="00DC2395" w:rsidP="00DC2395">
            <w:pPr>
              <w:widowControl w:val="0"/>
              <w:autoSpaceDE w:val="0"/>
              <w:autoSpaceDN w:val="0"/>
              <w:adjustRightInd w:val="0"/>
              <w:spacing w:before="1" w:after="1" w:line="240" w:lineRule="auto"/>
              <w:ind w:left="40" w:right="4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DC2395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</w:t>
            </w:r>
          </w:p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ní hospodaření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0B3691" w:rsidRDefault="000B3691">
      <w:pPr>
        <w:sectPr w:rsidR="000B369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3 947 615,89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3 285 200,00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4 340 200,00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4 285 192,34</w:t>
            </w:r>
          </w:p>
        </w:tc>
      </w:tr>
    </w:tbl>
    <w:p w:rsidR="000B3691" w:rsidRDefault="000B3691">
      <w:pPr>
        <w:sectPr w:rsidR="000B3691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797 703,16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26 315,87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74 621,98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898 641,01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794 733,19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162 830,00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957 563,19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1 865 000,00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1 856 204,20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1 605 803,58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165 650,00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195 142,46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290 465,65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3 112 000,00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3 947 615,89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123 290,86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123 290,86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2 463,00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17 550,00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20 013,00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72,59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143 376,45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3 208 000,00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4 130 000,00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4 090 992,34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61 200,00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194 200,00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3 285 200,00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4 340 200,00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4 285 192,34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3 171 222,61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3 024 000,00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5 129 000,00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4 845 990,19</w:t>
            </w:r>
          </w:p>
        </w:tc>
      </w:tr>
    </w:tbl>
    <w:p w:rsidR="000B3691" w:rsidRDefault="000B3691">
      <w:pPr>
        <w:sectPr w:rsidR="000B3691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444 755,00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444 755,00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103 956,00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249 441,00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353 397,00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111 546,00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61 094,00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1 795,00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Ost.pov.poj.placené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174 435,00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972 587,00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4 780,00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9 966,00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143 038,00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161 416,41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319 200,41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35 693,30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35 693,30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4 793,00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132 345,04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154 251,00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98 269,90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389 658,94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2 546,00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14 757,78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36 966,80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8 079,60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13 310,00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487 999,82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563 660,00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292 799,00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9 534,00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33 382,94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335 715,94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1 222,00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142 128,02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38 045,00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181 395,02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1 825 323,61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19 635,00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114 666,00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148 066,00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164 330,00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veř.rozp.úst.úr.transf.posk.v min.r.obd.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13 978,00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178 411,00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346 677,00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neinv.transf.nepodnik.fyzickým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3 171 222,61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1 369 287,58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1 369 287,58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1 674 767,58</w:t>
            </w:r>
          </w:p>
        </w:tc>
      </w:tr>
      <w:tr w:rsidR="000B3691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3 024 000,00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5 129 000,00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4 845 990,19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0B3691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261 200,00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788 800,00-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560 797,85-</w:t>
            </w:r>
          </w:p>
        </w:tc>
      </w:tr>
      <w:tr w:rsidR="000B3691">
        <w:trPr>
          <w:cantSplit/>
        </w:trPr>
        <w:tc>
          <w:tcPr>
            <w:tcW w:w="10769" w:type="dxa"/>
            <w:gridSpan w:val="6"/>
          </w:tcPr>
          <w:p w:rsidR="000B3691" w:rsidRDefault="000B3691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6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0B3691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B3691">
        <w:trPr>
          <w:cantSplit/>
        </w:trPr>
        <w:tc>
          <w:tcPr>
            <w:tcW w:w="10769" w:type="dxa"/>
            <w:gridSpan w:val="6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94 200,00-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955 800,00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167 000,00-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167 000,00-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176 358,70-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261 200,00-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788 800,00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560 797,85</w:t>
            </w:r>
          </w:p>
        </w:tc>
      </w:tr>
    </w:tbl>
    <w:p w:rsidR="000B3691" w:rsidRDefault="000B3691">
      <w:pPr>
        <w:sectPr w:rsidR="000B3691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0B3691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915 111,61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737 156,55-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177 955,06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915 111,61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737 156,55-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177 955,06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737 156,55</w:t>
            </w:r>
          </w:p>
        </w:tc>
      </w:tr>
      <w:tr w:rsidR="000B3691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V. PENĚŽNÍ FONDY - INFORMATIVNĚ</w:t>
            </w:r>
          </w:p>
        </w:tc>
      </w:tr>
      <w:tr w:rsidR="000B3691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3691" w:rsidRDefault="000B3691">
      <w:pPr>
        <w:sectPr w:rsidR="000B3691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4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MAJETEK</w:t>
            </w:r>
          </w:p>
        </w:tc>
      </w:tr>
      <w:tr w:rsidR="000B3691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B3691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0B3691" w:rsidRDefault="000B3691">
      <w:pPr>
        <w:sectPr w:rsidR="000B3691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183 152,40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183 152,40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567 540,00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567 540,00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14 618 712,43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1 585 550,50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16 204 262,93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4 280 129,10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4 280 129,10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1 078 927,86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141 117,00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1 220 044,86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1 619 948,50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240 480,00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1 860 428,50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50 635,00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50 635,00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837 435,63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216 845,50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1 054 281,13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183 152,40-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183 152,40-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328 888,50-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27 905,50-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356 794,00-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5 590 352,80-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349 135,00-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5 939 487,80-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376 025,00-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239 601,00-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615 626,00-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1 078 927,86-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141 117,00-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1 220 044,86-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5 885,40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794,50-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5 090,90</w:t>
            </w:r>
          </w:p>
        </w:tc>
      </w:tr>
      <w:tr w:rsidR="000B3691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0B369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0B3691" w:rsidRDefault="000B3691">
      <w:pPr>
        <w:sectPr w:rsidR="000B3691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5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0B3691" w:rsidRDefault="000B3691">
      <w:pPr>
        <w:sectPr w:rsidR="000B3691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114 666,00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31 800,00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0B3691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3691">
        <w:trPr>
          <w:cantSplit/>
        </w:trPr>
        <w:tc>
          <w:tcPr>
            <w:tcW w:w="10769" w:type="dxa"/>
            <w:gridSpan w:val="7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VIII. VYÚČTOVÁNÍ FIN. VZTAHŮ KE ST. ROZPOČTU, ST. FONDŮM A NÁRODNÍMU FONDU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B3691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0B3691" w:rsidRDefault="000B3691">
      <w:pPr>
        <w:sectPr w:rsidR="000B3691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16 930,00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1 070,00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13007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chráněné pracovní místo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78 097,00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11 903,00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90 000,00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14 796,00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1 152,00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18 885,00</w:t>
            </w:r>
          </w:p>
        </w:tc>
      </w:tr>
      <w:tr w:rsidR="000B3691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13 978,00</w:t>
            </w:r>
          </w:p>
        </w:tc>
      </w:tr>
      <w:tr w:rsidR="000B3691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volby - kraj, senát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0B3691" w:rsidRDefault="002F599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13 978,00</w:t>
            </w:r>
          </w:p>
        </w:tc>
      </w:tr>
    </w:tbl>
    <w:p w:rsidR="000B3691" w:rsidRDefault="000B3691">
      <w:pPr>
        <w:sectPr w:rsidR="000B3691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FINANČNÍ HOSPODAŘENÍ ZŘÍZENÝCH PRÁVNICKÝCH OSOB A HOSPODAŘENÍ S JEJICH MAJETKEM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0B3691" w:rsidRDefault="002F599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2F599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OSTATNÍ DOPLŇUJÍCÍ ÚDAJE</w:t>
            </w: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tbl>
            <w:tblPr>
              <w:tblW w:w="10769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769"/>
            </w:tblGrid>
            <w:tr w:rsidR="002F5997" w:rsidTr="002F5997">
              <w:trPr>
                <w:cantSplit/>
              </w:trPr>
              <w:tc>
                <w:tcPr>
                  <w:tcW w:w="1076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lastRenderedPageBreak/>
                    <w:t>V roce 201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7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 byl pořízen z dotací: investiční </w:t>
                  </w:r>
                </w:p>
                <w:p w:rsidR="002F5997" w:rsidRPr="00F81D53" w:rsidRDefault="002F5997" w:rsidP="002F5997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F81D53">
                    <w:rPr>
                      <w:rFonts w:ascii="Times New Roman" w:hAnsi="Times New Roman"/>
                      <w:iCs/>
                      <w:color w:val="000000"/>
                    </w:rPr>
                    <w:t>V roce 201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F81D53">
                    <w:rPr>
                      <w:rFonts w:ascii="Times New Roman" w:hAnsi="Times New Roman"/>
                      <w:iCs/>
                      <w:color w:val="000000"/>
                    </w:rPr>
                    <w:t xml:space="preserve"> nebylo pořízeno nic z investiční dotace – žádná nebyla poskytnuta.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V roce 201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7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 byl pořízen z dotací: neinvestiční</w:t>
                  </w: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V roce 201</w:t>
                  </w:r>
                  <w:r w:rsidR="00AB5D49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nebylo pořízeno nic z neinvestiční dotace – žádná nebyla poskytnuta.</w:t>
                  </w: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Drobný dlouhodobý nehmotný majetek – 018:</w:t>
                  </w: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Ostatní dlouhodobý nehmotný majetek – 019:</w:t>
                  </w:r>
                </w:p>
                <w:p w:rsidR="002F5997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  <w:r w:rsidR="00AB5D49"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AB5D49" w:rsidRDefault="00AB5D49" w:rsidP="00990A7A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Drobný dlouhodobý hmotný majetek – 028:</w:t>
                  </w: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AB5D49" w:rsidRPr="00AB5D49" w:rsidRDefault="00AB5D49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7 260,-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2 x slunečník se stojanem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27 280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zásahová přilba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8 235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plastový kontejner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17 903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radiostanice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9 540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nádoba na posypový materiál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12 691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pístový kompresor Atmos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8 640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dřevěný stánek</w:t>
                  </w:r>
                </w:p>
                <w:p w:rsidR="002F5997" w:rsidRPr="00065335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5 264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tiskárna Epson </w:t>
                  </w:r>
                </w:p>
                <w:p w:rsidR="002F5997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4 308</w:t>
                  </w:r>
                  <w:r w:rsidR="002F5997"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,- 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>nabíječka akumulátorů CTEK M200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14 732,-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 xml:space="preserve"> ocelový venkovní květináč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22 890,-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 křovinořez FS 410</w:t>
                  </w:r>
                </w:p>
                <w:p w:rsidR="00AB5D49" w:rsidRDefault="00AB5D49" w:rsidP="002F599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9 940,-</w:t>
                  </w:r>
                  <w:r w:rsidR="004502C5">
                    <w:rPr>
                      <w:rFonts w:ascii="Times New Roman" w:hAnsi="Times New Roman"/>
                      <w:iCs/>
                      <w:color w:val="000000"/>
                    </w:rPr>
                    <w:t xml:space="preserve"> fotopast</w:t>
                  </w:r>
                </w:p>
                <w:p w:rsid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Úbytky 2017:</w:t>
                  </w:r>
                </w:p>
                <w:p w:rsidR="00AB5D49" w:rsidRDefault="00AB5D49" w:rsidP="00AB5D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AB5D49" w:rsidRPr="00AB5D49" w:rsidRDefault="00AB5D49" w:rsidP="00AB5D49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7 566,-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 xml:space="preserve"> boiler Ariston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4A563E">
                    <w:rPr>
                      <w:rFonts w:ascii="Times New Roman" w:hAnsi="Times New Roman"/>
                      <w:b/>
                      <w:iCs/>
                      <w:color w:val="000000"/>
                    </w:rPr>
                    <w:t>Pozemky – 031: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990A7A" w:rsidRDefault="00990A7A" w:rsidP="00990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990A7A" w:rsidRDefault="00990A7A" w:rsidP="00990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Default="003B373E" w:rsidP="003B373E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Kupní smlouva  uzavřená  s pí. Marčíková A. – nákup pozemků p.č. 360/39, 360/54, 360/71, a p.č. 81 vše ve výši 126 000,-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, (1 0000,- vklad do KN)</w:t>
                  </w:r>
                </w:p>
                <w:p w:rsidR="00140F45" w:rsidRDefault="003B373E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Kupní smlouva uzavřená s Moravské lesní družstvo – nákup pozemků p.č. st. 146/1, a p.č. 122 vše ve výši 110 000,-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, (1 0000,- vklad do KN)</w:t>
                  </w:r>
                </w:p>
                <w:p w:rsidR="00140F45" w:rsidRDefault="003B373E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Darovací smlouva uzavřená s pí. MUDr. Klváčková H. 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 xml:space="preserve"> – dar pozemku p.č. 273/26, (1 0000,- vklad do KN)</w:t>
                  </w:r>
                </w:p>
                <w:p w:rsidR="00140F45" w:rsidRDefault="00140F45" w:rsidP="00140F45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Kupní smlouva uzavřená s p. Čáp V. – nákup pozemku p.č. 501/2 ve výši 480,-, (1 0000,- vklad do KN)</w:t>
                  </w:r>
                </w:p>
                <w:p w:rsid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140F45" w:rsidRPr="00140F45" w:rsidRDefault="00140F45" w:rsidP="00140F45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Přírůstky</w:t>
                  </w:r>
                  <w:r w:rsidR="002E3BA8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, úbytky</w:t>
                  </w: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 – převod</w:t>
                  </w:r>
                  <w:r w:rsidR="002E3BA8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y mezi účty pozemků</w:t>
                  </w:r>
                  <w:r w:rsidRPr="00140F45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>:</w:t>
                  </w:r>
                </w:p>
                <w:p w:rsidR="003B373E" w:rsidRDefault="003B373E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065335" w:rsidRDefault="002F5997" w:rsidP="002F5997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Převod  v hodnotě </w:t>
                  </w:r>
                  <w:r w:rsidR="00140F45">
                    <w:rPr>
                      <w:rFonts w:ascii="Times New Roman" w:hAnsi="Times New Roman"/>
                      <w:iCs/>
                      <w:color w:val="000000"/>
                    </w:rPr>
                    <w:t>21 645,-</w:t>
                  </w:r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>p.č. 359/4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na 031/0600 věcné břemeno </w:t>
                  </w:r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 xml:space="preserve">z 031.0310 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– </w:t>
                  </w:r>
                  <w:r w:rsidR="002E3BA8">
                    <w:rPr>
                      <w:rFonts w:ascii="Times New Roman" w:hAnsi="Times New Roman"/>
                      <w:iCs/>
                      <w:color w:val="000000"/>
                    </w:rPr>
                    <w:t>Karličtí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>, přípojka NN</w:t>
                  </w:r>
                </w:p>
                <w:p w:rsidR="002F5997" w:rsidRDefault="002F5997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E3BA8" w:rsidRPr="00065335" w:rsidRDefault="002E3BA8" w:rsidP="002F5997">
                  <w:pPr>
                    <w:pStyle w:val="Odstavecseseznamem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lastRenderedPageBreak/>
                    <w:t xml:space="preserve">Stavby – 021: </w:t>
                  </w:r>
                </w:p>
                <w:p w:rsidR="00E44EC0" w:rsidRDefault="00E44EC0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</w:p>
                <w:p w:rsid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  <w:r w:rsidRPr="00AB5D49"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  <w:t xml:space="preserve">Přírůstky 2017: </w:t>
                  </w:r>
                </w:p>
                <w:p w:rsidR="00E44EC0" w:rsidRPr="00E44EC0" w:rsidRDefault="00E44EC0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E44EC0" w:rsidRDefault="00E44EC0" w:rsidP="00E44EC0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E44EC0">
                    <w:rPr>
                      <w:rFonts w:ascii="Times New Roman" w:hAnsi="Times New Roman"/>
                      <w:iCs/>
                      <w:color w:val="000000"/>
                    </w:rPr>
                    <w:t>1 044 165,- komunikace</w:t>
                  </w:r>
                </w:p>
                <w:p w:rsidR="00E44EC0" w:rsidRPr="00E44EC0" w:rsidRDefault="00E44EC0" w:rsidP="00E44EC0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</w:rPr>
                    <w:t>541 385,- veřejné osvětlení</w:t>
                  </w:r>
                </w:p>
                <w:p w:rsid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E44EC0" w:rsidRPr="00E44EC0" w:rsidRDefault="00E44EC0" w:rsidP="00E44E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u w:val="single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Samostatné movité věci – 022:</w:t>
                  </w:r>
                </w:p>
                <w:p w:rsidR="00990A7A" w:rsidRDefault="00990A7A" w:rsidP="00990A7A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Nebylo účtováno o přírůstku ani úbytku.</w:t>
                  </w:r>
                  <w:r>
                    <w:rPr>
                      <w:rFonts w:ascii="Times New Roman" w:hAnsi="Times New Roman"/>
                      <w:iCs/>
                      <w:color w:val="000000"/>
                    </w:rPr>
                    <w:t xml:space="preserve"> 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</w:rPr>
                    <w:t>Majetek daný do zástavy</w:t>
                  </w: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>: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Na vybudování plynofikace byl přijat úvěr ve výši 2 500 000,00, s tímhle poskytnutým úvěrem byla daná do zástavy budova s číslem popisným 25 – budova místního obchodu + parcelní číslo st. 152 – zastavěná plocha a nádvoří obchodu.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</w:p>
                <w:p w:rsidR="002F5997" w:rsidRPr="00AA1D6D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iCs/>
                      <w:color w:val="000000"/>
                    </w:rPr>
                    <w:t xml:space="preserve">Finanční prostředky: 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Pokladna k 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0,00 Kč.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Základní běžný účet je vedený u Komerční banky, a.s., pobočka Kroměříž, zůstatek k 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2 936,93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Kč.</w:t>
                  </w:r>
                </w:p>
                <w:p w:rsidR="002F5997" w:rsidRPr="00065335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</w:rPr>
                  </w:pP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>Základní běžný účet je vedený u České národní banky, a.s., pobočka Brno, zůstatek k 31.12.201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7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ve výši </w:t>
                  </w:r>
                  <w:r w:rsidR="00990A7A">
                    <w:rPr>
                      <w:rFonts w:ascii="Times New Roman" w:hAnsi="Times New Roman"/>
                      <w:iCs/>
                      <w:color w:val="000000"/>
                    </w:rPr>
                    <w:t>175 018,13</w:t>
                  </w:r>
                  <w:r w:rsidRPr="00065335">
                    <w:rPr>
                      <w:rFonts w:ascii="Times New Roman" w:hAnsi="Times New Roman"/>
                      <w:iCs/>
                      <w:color w:val="000000"/>
                    </w:rPr>
                    <w:t xml:space="preserve"> Kč</w:t>
                  </w:r>
                </w:p>
                <w:p w:rsidR="002F5997" w:rsidRPr="00C312B3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:rsidR="002F5997" w:rsidRPr="00C312B3" w:rsidRDefault="002F5997" w:rsidP="002F59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2F5997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2F5997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b/>
                <w:iCs/>
                <w:color w:val="000000"/>
              </w:rPr>
            </w:pPr>
            <w:r w:rsidRPr="00AA1D6D">
              <w:rPr>
                <w:rFonts w:ascii="Times New Roman" w:hAnsi="Times New Roman"/>
                <w:b/>
                <w:iCs/>
                <w:color w:val="000000"/>
              </w:rPr>
              <w:t>Úvěry: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Obec přijala v roce 2011 úvěr ve výši 2 500 000,00 Kč na Plynofikace obce Bělov, úvěr je splatný v březnu roku 2026. Zůstatek k 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činí 1</w:t>
            </w:r>
            <w:r w:rsidR="00990A7A">
              <w:rPr>
                <w:rFonts w:ascii="Times New Roman" w:hAnsi="Times New Roman"/>
                <w:iCs/>
                <w:color w:val="000000"/>
              </w:rPr>
              <w:t> 604 981,73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Kč.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Rozvaha ke dni 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-  přílohou  k 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b/>
                <w:iCs/>
                <w:color w:val="000000"/>
              </w:rPr>
            </w:pPr>
            <w:r w:rsidRPr="00AA1D6D">
              <w:rPr>
                <w:rFonts w:ascii="Times New Roman" w:hAnsi="Times New Roman"/>
                <w:b/>
                <w:iCs/>
                <w:color w:val="000000"/>
              </w:rPr>
              <w:t>Výsledek hospodaření: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2D7480">
              <w:rPr>
                <w:rFonts w:ascii="Times New Roman" w:hAnsi="Times New Roman"/>
                <w:iCs/>
                <w:color w:val="000000"/>
              </w:rPr>
              <w:t xml:space="preserve">Výsledek hospodaření po zdanění činí </w:t>
            </w:r>
            <w:r w:rsidR="00E44EC0">
              <w:rPr>
                <w:rFonts w:ascii="Times New Roman" w:hAnsi="Times New Roman"/>
                <w:iCs/>
                <w:color w:val="000000"/>
              </w:rPr>
              <w:t>682 855,68</w:t>
            </w:r>
            <w:r w:rsidRPr="002D7480">
              <w:rPr>
                <w:rFonts w:ascii="Times New Roman" w:hAnsi="Times New Roman"/>
                <w:iCs/>
                <w:color w:val="000000"/>
              </w:rPr>
              <w:t xml:space="preserve"> Kč.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Výkaz zisku a ztrát k 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je přílohou  k  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  <w:r w:rsidRPr="00AA1D6D">
              <w:rPr>
                <w:rFonts w:ascii="Times New Roman" w:hAnsi="Times New Roman"/>
                <w:iCs/>
                <w:color w:val="000000"/>
              </w:rPr>
              <w:t>Výkaz fin 2 – 12 k 31.12.201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 xml:space="preserve"> je přílohou k Závěrečnému účtu obce Bělov za rok 201</w:t>
            </w:r>
            <w:r w:rsidR="00990A7A">
              <w:rPr>
                <w:rFonts w:ascii="Times New Roman" w:hAnsi="Times New Roman"/>
                <w:iCs/>
                <w:color w:val="000000"/>
              </w:rPr>
              <w:t>7</w:t>
            </w:r>
            <w:r w:rsidRPr="00AA1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Vyúčtování finančních vztahů ke státnímu rozpočtu a ostatním rozpočtům ústřední úrovně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Údaje v tabulce jsou v Kč</w:t>
            </w:r>
          </w:p>
          <w:tbl>
            <w:tblPr>
              <w:tblW w:w="91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026"/>
              <w:gridCol w:w="2760"/>
              <w:gridCol w:w="1305"/>
              <w:gridCol w:w="1305"/>
              <w:gridCol w:w="1215"/>
            </w:tblGrid>
            <w:tr w:rsidR="002F5997" w:rsidRPr="00AA1D6D" w:rsidTr="002F5997">
              <w:trPr>
                <w:trHeight w:val="31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Poskytovatel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ÚZ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Čerpání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Vráceno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SR - MF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příspěvek na výkon st. Správy – pol 4112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61 200,00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61 200,00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SR - VPS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13007</w:t>
                  </w:r>
                </w:p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13101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Dotace na VPP – pol- 4116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108 000,00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E44EC0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2F5997" w:rsidRPr="00AA1D6D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="002F5997"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ZK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98071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Dotace na volby – pol. 4111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</w:rPr>
                    <w:t>2</w:t>
                  </w:r>
                  <w:r w:rsidR="00104C0D">
                    <w:rPr>
                      <w:rFonts w:ascii="Times New Roman" w:hAnsi="Times New Roman"/>
                    </w:rPr>
                    <w:t>5</w:t>
                  </w:r>
                  <w:r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A1D6D">
                    <w:rPr>
                      <w:rFonts w:ascii="Times New Roman" w:hAnsi="Times New Roman"/>
                    </w:rPr>
                    <w:t>2</w:t>
                  </w:r>
                  <w:r w:rsidR="00104C0D">
                    <w:rPr>
                      <w:rFonts w:ascii="Times New Roman" w:hAnsi="Times New Roman"/>
                    </w:rPr>
                    <w:t>5</w:t>
                  </w:r>
                  <w:r w:rsidRPr="00AA1D6D">
                    <w:rPr>
                      <w:rFonts w:ascii="Times New Roman" w:hAnsi="Times New Roman"/>
                    </w:rPr>
                    <w:t> 000,00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2F5997" w:rsidRPr="00AA1D6D" w:rsidTr="002F5997">
              <w:trPr>
                <w:trHeight w:val="345"/>
              </w:trPr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104C0D" w:rsidP="00104C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194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00,00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194</w:t>
                  </w: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00,00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highlight w:val="yellow"/>
                    </w:rPr>
                  </w:pPr>
                  <w:r w:rsidRPr="00AA1D6D">
                    <w:rPr>
                      <w:rFonts w:ascii="Times New Roman" w:hAnsi="Times New Roman"/>
                      <w:b/>
                      <w:color w:val="000000"/>
                    </w:rPr>
                    <w:t>0,00</w:t>
                  </w:r>
                </w:p>
              </w:tc>
            </w:tr>
          </w:tbl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Přijaté dotace byly čerpány v souladu s účelovým určením. Dotace byly vyúčtovány a vypořádány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Poskytnuté transfery veřejným rozpočtům územní úrovně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Údaje v tabulce jsou v Kč</w:t>
            </w:r>
          </w:p>
          <w:tbl>
            <w:tblPr>
              <w:tblW w:w="806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2694"/>
              <w:gridCol w:w="707"/>
              <w:gridCol w:w="740"/>
              <w:gridCol w:w="1643"/>
            </w:tblGrid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Příjemce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ODPA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POL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Částka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Zlínský kraj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 - dopravní obslužnost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2229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>31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 800,00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lastRenderedPageBreak/>
                    <w:t>Dopravní společnost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 - dopravní obslužnost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2221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5193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 xml:space="preserve">142 128,02  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Město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MŚ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3111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104C0D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84 666,00</w:t>
                  </w:r>
                  <w:r w:rsidR="002F5997" w:rsidRPr="00AA1D6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Město Otrokovice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ZŠ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3113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5321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104C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  </w:t>
                  </w:r>
                  <w:r w:rsidR="00104C0D">
                    <w:rPr>
                      <w:rFonts w:ascii="Times New Roman" w:hAnsi="Times New Roman"/>
                      <w:color w:val="000000"/>
                    </w:rPr>
                    <w:t>21 000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</w:tr>
            <w:tr w:rsidR="002F5997" w:rsidRPr="00AA1D6D" w:rsidTr="00C92B0F">
              <w:trPr>
                <w:trHeight w:val="11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Sdružení obcí pro rozvoj Baťova kanálu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Neinvestiční výdaje, členský příspěvek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2239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>5329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C92B0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        1 </w:t>
                  </w:r>
                  <w:r w:rsidR="00C92B0F">
                    <w:rPr>
                      <w:rFonts w:ascii="Times New Roman" w:hAnsi="Times New Roman"/>
                      <w:color w:val="000000"/>
                    </w:rPr>
                    <w:t>600</w:t>
                  </w:r>
                  <w:r w:rsidRPr="00AA1D6D">
                    <w:rPr>
                      <w:rFonts w:ascii="Times New Roman" w:hAnsi="Times New Roman"/>
                      <w:color w:val="000000"/>
                    </w:rPr>
                    <w:t xml:space="preserve">,00 </w:t>
                  </w:r>
                </w:p>
              </w:tc>
            </w:tr>
            <w:tr w:rsidR="002F5997" w:rsidRPr="00AA1D6D" w:rsidTr="002F5997">
              <w:trPr>
                <w:trHeight w:val="31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AA1D6D" w:rsidRDefault="00C92B0F" w:rsidP="002F599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249  394,02</w:t>
                  </w:r>
                  <w:r w:rsidR="002F5997" w:rsidRPr="00AA1D6D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2F5997" w:rsidRDefault="002F5997" w:rsidP="002F599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Obec je členem Mikroregionu Otrokovicko a Sdružení pro rozvoj Baťova kanálu a Vodní cesty na řece Moravě.</w:t>
            </w:r>
          </w:p>
          <w:p w:rsidR="002F5997" w:rsidRPr="00AA1D6D" w:rsidRDefault="002F5997" w:rsidP="002F59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F5997" w:rsidRPr="002D7480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7480">
              <w:rPr>
                <w:rFonts w:ascii="Times New Roman" w:hAnsi="Times New Roman"/>
                <w:b/>
              </w:rPr>
              <w:t>Poskytnuté dary ostatním organizacím, občanským sdružením, občanům</w:t>
            </w:r>
          </w:p>
          <w:p w:rsidR="002F5997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480">
              <w:rPr>
                <w:rFonts w:ascii="Times New Roman" w:hAnsi="Times New Roman"/>
              </w:rPr>
              <w:t>Údaje v tabulce jsou v</w:t>
            </w:r>
            <w:r>
              <w:rPr>
                <w:rFonts w:ascii="Times New Roman" w:hAnsi="Times New Roman"/>
              </w:rPr>
              <w:t> </w:t>
            </w:r>
            <w:r w:rsidRPr="002D7480">
              <w:rPr>
                <w:rFonts w:ascii="Times New Roman" w:hAnsi="Times New Roman"/>
              </w:rPr>
              <w:t>Kč</w:t>
            </w:r>
          </w:p>
          <w:p w:rsidR="002F5997" w:rsidRPr="002D7480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842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2268"/>
              <w:gridCol w:w="815"/>
              <w:gridCol w:w="1780"/>
            </w:tblGrid>
            <w:tr w:rsidR="002F5997" w:rsidRPr="002D7480" w:rsidTr="002F5997">
              <w:trPr>
                <w:trHeight w:val="300"/>
              </w:trPr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Příjemce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Účel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POL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Částka</w:t>
                  </w:r>
                </w:p>
              </w:tc>
            </w:tr>
            <w:tr w:rsidR="002F5997" w:rsidRPr="002D7480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Myslivecké sdružení Kvasice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Příspěvek na činnost a rozvoj myslivosti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2D7480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2D7480">
                    <w:rPr>
                      <w:rFonts w:ascii="Times New Roman" w:hAnsi="Times New Roman"/>
                      <w:color w:val="000000"/>
                    </w:rPr>
                    <w:t xml:space="preserve">      5 000,00 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Hasiči Kroměříž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Členský příspěvek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 xml:space="preserve">        235,00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MAS Jižní Haná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Členský příspěvek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 6 400,00</w:t>
                  </w:r>
                </w:p>
              </w:tc>
            </w:tr>
            <w:tr w:rsidR="00C92B0F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Spolek včelaři Kvasice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5 000,00</w:t>
                  </w:r>
                </w:p>
              </w:tc>
            </w:tr>
            <w:tr w:rsidR="00C92B0F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Modelářský k</w:t>
                  </w:r>
                  <w:r w:rsidR="003B373E">
                    <w:rPr>
                      <w:rFonts w:ascii="Times New Roman" w:hAnsi="Times New Roman"/>
                      <w:color w:val="000000"/>
                    </w:rPr>
                    <w:t>l</w:t>
                  </w:r>
                  <w:r>
                    <w:rPr>
                      <w:rFonts w:ascii="Times New Roman" w:hAnsi="Times New Roman"/>
                      <w:color w:val="000000"/>
                    </w:rPr>
                    <w:t>ub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Pr="00DA1799" w:rsidRDefault="00C92B0F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92B0F" w:rsidRDefault="00C92B0F" w:rsidP="00C92B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3 000,00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Sociální služby města Kroměříž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  <w:r w:rsidR="002F5997" w:rsidRPr="00DA1799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8 700,00</w:t>
                  </w:r>
                </w:p>
              </w:tc>
            </w:tr>
            <w:tr w:rsidR="00792529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Domov pro Seniory Napajedla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9 000,00</w:t>
                  </w:r>
                </w:p>
              </w:tc>
            </w:tr>
            <w:tr w:rsidR="00792529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Charita sv. Anežky Otrokovice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252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2 500,00</w:t>
                  </w:r>
                </w:p>
              </w:tc>
            </w:tr>
            <w:tr w:rsidR="002F5997" w:rsidRPr="00AA1D6D" w:rsidTr="002F5997">
              <w:trPr>
                <w:trHeight w:val="300"/>
              </w:trPr>
              <w:tc>
                <w:tcPr>
                  <w:tcW w:w="3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Celkem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2F5997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F5997" w:rsidRPr="00DA1799" w:rsidRDefault="00792529" w:rsidP="002F5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39 835,00</w:t>
                  </w:r>
                  <w:r w:rsidR="002F5997" w:rsidRPr="00DA17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  <w:b/>
              </w:rPr>
              <w:t>Vedení účetnictví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 xml:space="preserve">Obec Bělov zpracovává účetnictví programem GINIS od firmy Gordic s.r.o.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Obec Bělov v roce 201</w:t>
            </w:r>
            <w:r w:rsidR="00E44EC0">
              <w:rPr>
                <w:rFonts w:ascii="Times New Roman" w:hAnsi="Times New Roman"/>
              </w:rPr>
              <w:t>7</w:t>
            </w:r>
            <w:r w:rsidRPr="00AA1D6D">
              <w:rPr>
                <w:rFonts w:ascii="Times New Roman" w:hAnsi="Times New Roman"/>
              </w:rPr>
              <w:t xml:space="preserve"> neprovozovala hospodářskou činnost.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D6D">
              <w:rPr>
                <w:rFonts w:ascii="Times New Roman" w:hAnsi="Times New Roman"/>
              </w:rPr>
              <w:t>Obec Bělov nebyla v roce 201</w:t>
            </w:r>
            <w:r w:rsidR="00E44EC0">
              <w:rPr>
                <w:rFonts w:ascii="Times New Roman" w:hAnsi="Times New Roman"/>
              </w:rPr>
              <w:t>7</w:t>
            </w:r>
            <w:r w:rsidRPr="00AA1D6D">
              <w:rPr>
                <w:rFonts w:ascii="Times New Roman" w:hAnsi="Times New Roman"/>
              </w:rPr>
              <w:t xml:space="preserve"> plátcem DPH. </w:t>
            </w:r>
          </w:p>
          <w:p w:rsidR="002F5997" w:rsidRPr="00AA1D6D" w:rsidRDefault="002F5997" w:rsidP="002F59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1D6D">
              <w:rPr>
                <w:rFonts w:ascii="Times New Roman" w:hAnsi="Times New Roman"/>
              </w:rPr>
              <w:t>Rozvahový den, k němuž byla účetní závěrka sestavena</w:t>
            </w:r>
            <w:r w:rsidRPr="00AA1D6D">
              <w:rPr>
                <w:rFonts w:ascii="Times New Roman" w:hAnsi="Times New Roman"/>
                <w:b/>
              </w:rPr>
              <w:t>: 31. 12. 201</w:t>
            </w:r>
            <w:r w:rsidR="00E44EC0">
              <w:rPr>
                <w:rFonts w:ascii="Times New Roman" w:hAnsi="Times New Roman"/>
                <w:b/>
              </w:rPr>
              <w:t>7</w:t>
            </w:r>
            <w:r w:rsidRPr="00AA1D6D">
              <w:rPr>
                <w:rFonts w:ascii="Times New Roman" w:hAnsi="Times New Roman"/>
                <w:b/>
              </w:rPr>
              <w:t>.</w:t>
            </w:r>
          </w:p>
          <w:p w:rsidR="002F5997" w:rsidRPr="00AA1D6D" w:rsidRDefault="002F5997" w:rsidP="002F59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/>
                <w:iCs/>
                <w:color w:val="000000"/>
              </w:rPr>
            </w:pPr>
          </w:p>
          <w:p w:rsidR="002F5997" w:rsidRPr="00AA1D6D" w:rsidRDefault="002F5997" w:rsidP="002F59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D6D">
              <w:rPr>
                <w:rFonts w:ascii="Times New Roman" w:hAnsi="Times New Roman"/>
                <w:color w:val="000000"/>
              </w:rPr>
              <w:t xml:space="preserve">Připomínky k návrhu závěrečného účtu mohou občané uplatnit buď písemně ve lhůtě do dne před konáním se zasedání zastupitelstva, které je plánované na měsíc červen </w:t>
            </w:r>
            <w:r>
              <w:rPr>
                <w:rFonts w:ascii="Times New Roman" w:hAnsi="Times New Roman"/>
                <w:color w:val="000000"/>
              </w:rPr>
              <w:t>roku 201</w:t>
            </w:r>
            <w:r w:rsidR="00E44EC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1D6D">
              <w:rPr>
                <w:rFonts w:ascii="Times New Roman" w:hAnsi="Times New Roman"/>
                <w:color w:val="000000"/>
              </w:rPr>
              <w:t>nebo ústně na zasedání zastupitelstva, na kterém bude návrh závěrečného účtu projednáván.</w:t>
            </w:r>
          </w:p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5C6684" w:rsidRDefault="005C6684" w:rsidP="005C6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6684" w:rsidRDefault="005C6684" w:rsidP="005C6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C6684" w:rsidRDefault="005C6684" w:rsidP="005C668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Cambria" w:hAnsi="Cambria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iCs/>
                <w:color w:val="000000"/>
                <w:sz w:val="18"/>
                <w:szCs w:val="18"/>
              </w:rPr>
              <w:t>Návrh na usnesení:</w:t>
            </w:r>
          </w:p>
          <w:p w:rsidR="005C6684" w:rsidRDefault="005C6684" w:rsidP="005C668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Zastupitelstvo obce schvaluje celoro</w:t>
            </w:r>
            <w:r>
              <w:rPr>
                <w:rFonts w:ascii="Cambria,BoldItalic" w:hAnsi="Cambria,BoldItalic" w:cs="Cambria,BoldItalic"/>
                <w:b/>
                <w:bCs/>
                <w:i/>
                <w:iCs/>
                <w:sz w:val="20"/>
                <w:szCs w:val="20"/>
              </w:rPr>
              <w:t>č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ní hospoda</w:t>
            </w:r>
            <w:r>
              <w:rPr>
                <w:rFonts w:ascii="Cambria,BoldItalic" w:hAnsi="Cambria,BoldItalic" w:cs="Cambria,BoldItalic"/>
                <w:b/>
                <w:bCs/>
                <w:i/>
                <w:iCs/>
                <w:sz w:val="20"/>
                <w:szCs w:val="20"/>
              </w:rPr>
              <w:t>ř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ení obce a záv</w:t>
            </w:r>
            <w:r>
              <w:rPr>
                <w:rFonts w:ascii="Cambria,BoldItalic" w:hAnsi="Cambria,BoldItalic" w:cs="Cambria,BoldItalic"/>
                <w:b/>
                <w:bCs/>
                <w:i/>
                <w:iCs/>
                <w:sz w:val="20"/>
                <w:szCs w:val="20"/>
              </w:rPr>
              <w:t>ě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re</w:t>
            </w:r>
            <w:r>
              <w:rPr>
                <w:rFonts w:ascii="Cambria,BoldItalic" w:hAnsi="Cambria,BoldItalic" w:cs="Cambria,BoldItalic"/>
                <w:b/>
                <w:bCs/>
                <w:i/>
                <w:iCs/>
                <w:sz w:val="20"/>
                <w:szCs w:val="20"/>
              </w:rPr>
              <w:t>č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ný ú</w:t>
            </w:r>
            <w:r>
              <w:rPr>
                <w:rFonts w:ascii="Cambria,BoldItalic" w:hAnsi="Cambria,BoldItalic" w:cs="Cambria,BoldItalic"/>
                <w:b/>
                <w:bCs/>
                <w:i/>
                <w:iCs/>
                <w:sz w:val="20"/>
                <w:szCs w:val="20"/>
              </w:rPr>
              <w:t>č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et obce za rok 201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bez výhrad.</w:t>
            </w:r>
          </w:p>
          <w:p w:rsidR="005C6684" w:rsidRDefault="005C6684" w:rsidP="005C668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  <w:p w:rsidR="005C6684" w:rsidRPr="00496F2F" w:rsidRDefault="005C6684" w:rsidP="005C6684">
            <w:pPr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iCs/>
                <w:color w:val="000000"/>
                <w:sz w:val="20"/>
                <w:szCs w:val="20"/>
              </w:rPr>
              <w:t xml:space="preserve">Schváleno usnesením číslo 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č. 2/2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/1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bylo schváleno na 2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. zasedání konaného dne 2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.6.201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.</w:t>
            </w:r>
          </w:p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</w:tcPr>
          <w:p w:rsidR="000B3691" w:rsidRDefault="000B3691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Alžběta Vaculová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Ing. Alžběta Vaculová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B3691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B3691">
        <w:trPr>
          <w:cantSplit/>
        </w:trPr>
        <w:tc>
          <w:tcPr>
            <w:tcW w:w="3015" w:type="dxa"/>
            <w:gridSpan w:val="2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Jiří Přecechtěl</w:t>
            </w:r>
          </w:p>
        </w:tc>
      </w:tr>
      <w:tr w:rsidR="000B3691">
        <w:trPr>
          <w:cantSplit/>
        </w:trPr>
        <w:tc>
          <w:tcPr>
            <w:tcW w:w="538" w:type="dxa"/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0B3691" w:rsidRDefault="002F599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B3691" w:rsidRDefault="000B3691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F5997" w:rsidRDefault="002F5997"/>
    <w:sectPr w:rsidR="002F5997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73" w:rsidRDefault="00DC3A73">
      <w:pPr>
        <w:spacing w:after="0" w:line="240" w:lineRule="auto"/>
      </w:pPr>
      <w:r>
        <w:separator/>
      </w:r>
    </w:p>
  </w:endnote>
  <w:endnote w:type="continuationSeparator" w:id="0">
    <w:p w:rsidR="00DC3A73" w:rsidRDefault="00DC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15h 8m15s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6684">
            <w:rPr>
              <w:rFonts w:ascii="Arial" w:hAnsi="Arial"/>
              <w:i/>
              <w:sz w:val="14"/>
            </w:rPr>
            <w:fldChar w:fldCharType="separate"/>
          </w:r>
          <w:r w:rsidR="005C6684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73" w:rsidRDefault="00DC3A73">
      <w:pPr>
        <w:spacing w:after="0" w:line="240" w:lineRule="auto"/>
      </w:pPr>
      <w:r>
        <w:separator/>
      </w:r>
    </w:p>
  </w:footnote>
  <w:footnote w:type="continuationSeparator" w:id="0">
    <w:p w:rsidR="00DC3A73" w:rsidRDefault="00DC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2F599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Bělov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4522" w:type="dxa"/>
          <w:gridSpan w:val="3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2F5997" w:rsidRDefault="002F5997"/>
      </w:tc>
      <w:tc>
        <w:tcPr>
          <w:tcW w:w="4523" w:type="dxa"/>
          <w:gridSpan w:val="2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5C668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</w:t>
          </w:r>
          <w:r w:rsidR="002F5997">
            <w:rPr>
              <w:rFonts w:ascii="Arial" w:hAnsi="Arial"/>
              <w:b/>
              <w:sz w:val="43"/>
            </w:rPr>
            <w:t xml:space="preserve"> ZA ROK 2017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2F5997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2F5997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Bělov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4522" w:type="dxa"/>
          <w:gridSpan w:val="3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2F5997" w:rsidRDefault="002F5997"/>
      </w:tc>
      <w:tc>
        <w:tcPr>
          <w:tcW w:w="4523" w:type="dxa"/>
          <w:gridSpan w:val="2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5C668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 xml:space="preserve"> ZÁVĚREČNÝ ÚČET</w:t>
          </w:r>
          <w:r w:rsidR="002F5997">
            <w:rPr>
              <w:rFonts w:ascii="Arial" w:hAnsi="Arial"/>
              <w:b/>
              <w:sz w:val="43"/>
            </w:rPr>
            <w:t xml:space="preserve"> ZA ROK 2017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2F5997">
      <w:trPr>
        <w:cantSplit/>
      </w:trPr>
      <w:tc>
        <w:tcPr>
          <w:tcW w:w="1076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10769" w:type="dxa"/>
          <w:gridSpan w:val="5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2F599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2F5997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6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2F5997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8"/>
        </w:tcPr>
        <w:p w:rsidR="002F5997" w:rsidRDefault="002F599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2F5997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2F5997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2F5997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2F5997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2F5997" w:rsidRDefault="002F599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97" w:rsidRDefault="002F5997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2F5997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DSBD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2F5997" w:rsidRDefault="002F599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EF6"/>
    <w:multiLevelType w:val="hybridMultilevel"/>
    <w:tmpl w:val="CD26A574"/>
    <w:lvl w:ilvl="0" w:tplc="E77044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1"/>
    <w:rsid w:val="000B3691"/>
    <w:rsid w:val="00104C0D"/>
    <w:rsid w:val="00140F45"/>
    <w:rsid w:val="001D0FBE"/>
    <w:rsid w:val="002E3BA8"/>
    <w:rsid w:val="002F5997"/>
    <w:rsid w:val="003B373E"/>
    <w:rsid w:val="004502C5"/>
    <w:rsid w:val="004A563E"/>
    <w:rsid w:val="005C6684"/>
    <w:rsid w:val="00792529"/>
    <w:rsid w:val="008107C2"/>
    <w:rsid w:val="00973639"/>
    <w:rsid w:val="00990A7A"/>
    <w:rsid w:val="00AB5D49"/>
    <w:rsid w:val="00C92B0F"/>
    <w:rsid w:val="00DC2395"/>
    <w:rsid w:val="00DC3A73"/>
    <w:rsid w:val="00E44EC0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037C-D155-49C6-B19A-C4710CD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95"/>
  </w:style>
  <w:style w:type="paragraph" w:styleId="Zpat">
    <w:name w:val="footer"/>
    <w:basedOn w:val="Normln"/>
    <w:link w:val="ZpatChar"/>
    <w:uiPriority w:val="99"/>
    <w:unhideWhenUsed/>
    <w:rsid w:val="00DC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95"/>
  </w:style>
  <w:style w:type="paragraph" w:styleId="Odstavecseseznamem">
    <w:name w:val="List Paragraph"/>
    <w:basedOn w:val="Normln"/>
    <w:uiPriority w:val="34"/>
    <w:qFormat/>
    <w:rsid w:val="002F5997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3203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</dc:creator>
  <cp:lastModifiedBy>Alžběta</cp:lastModifiedBy>
  <cp:revision>2</cp:revision>
  <cp:lastPrinted>2018-08-22T14:45:00Z</cp:lastPrinted>
  <dcterms:created xsi:type="dcterms:W3CDTF">2018-08-22T14:46:00Z</dcterms:created>
  <dcterms:modified xsi:type="dcterms:W3CDTF">2018-08-22T14:46:00Z</dcterms:modified>
</cp:coreProperties>
</file>